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Schedule Tags set of tests in “tasks.test.js” for the back-end source files.</w:t>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scheduleTask module is an API endpoint within the server tier that takes username, taskName, startDate, endDate, and tag properties in the http request body as input and queries the database, inserting the task in in the relevant tables, outputting the task ID of the inserted task in the http response body.</w:t>
      </w: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[Insert Description Here]</w:t>
      </w:r>
    </w:p>
    <w:p w:rsidR="00000000" w:rsidDel="00000000" w:rsidP="00000000" w:rsidRDefault="00000000" w:rsidRPr="00000000" w14:paraId="0000000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are no inputs from the user that can change the behavior of “Main.jsx”. Thus the only equivalence class to be tested is whether or not “Main.jsx” can be displayed on the user’s browser.</w:t>
      </w:r>
    </w:p>
    <w:p w:rsidR="00000000" w:rsidDel="00000000" w:rsidP="00000000" w:rsidRDefault="00000000" w:rsidRPr="00000000" w14:paraId="0000000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 Suite 1: Valid input</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rFonts w:ascii="Ubuntu" w:cs="Ubuntu" w:eastAsia="Ubuntu" w:hAnsi="Ubuntu"/>
          <w:sz w:val="24"/>
          <w:szCs w:val="24"/>
          <w:rtl w:val="0"/>
        </w:rPr>
        <w:t xml:space="preserve">All fields correct</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Suite 2: Invalid input</w:t>
      </w:r>
    </w:p>
    <w:p w:rsidR="00000000" w:rsidDel="00000000" w:rsidP="00000000" w:rsidRDefault="00000000" w:rsidRPr="00000000" w14:paraId="00000010">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All fields blank</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Fetch Task Test Document</w:t>
    </w:r>
  </w:p>
  <w:p w:rsidR="00000000" w:rsidDel="00000000" w:rsidP="00000000" w:rsidRDefault="00000000" w:rsidRPr="00000000" w14:paraId="00000014">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5">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8">
    <w:pPr>
      <w:rPr/>
    </w:pPr>
    <w:r w:rsidDel="00000000" w:rsidR="00000000" w:rsidRPr="00000000">
      <w:rPr>
        <w:rFonts w:ascii="Ubuntu" w:cs="Ubuntu" w:eastAsia="Ubuntu" w:hAnsi="Ubuntu"/>
        <w:sz w:val="24"/>
        <w:szCs w:val="24"/>
        <w:rtl w:val="0"/>
      </w:rPr>
      <w:t xml:space="preserve">Test Document written by </w:t>
    </w:r>
    <w:r w:rsidDel="00000000" w:rsidR="00000000" w:rsidRPr="00000000">
      <w:rPr>
        <w:rFonts w:ascii="Ubuntu" w:cs="Ubuntu" w:eastAsia="Ubuntu" w:hAnsi="Ubuntu"/>
        <w:sz w:val="24"/>
        <w:szCs w:val="24"/>
        <w:rtl w:val="0"/>
      </w:rPr>
      <w:t xml:space="preserve">Collin</w:t>
    </w:r>
    <w:r w:rsidDel="00000000" w:rsidR="00000000" w:rsidRPr="00000000">
      <w:rPr>
        <w:rFonts w:ascii="Ubuntu" w:cs="Ubuntu" w:eastAsia="Ubuntu" w:hAnsi="Ubuntu"/>
        <w:sz w:val="24"/>
        <w:szCs w:val="24"/>
        <w:rtl w:val="0"/>
      </w:rPr>
      <w:t xml:space="preserve"> Mccoll</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