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от моделите на клинични данни, на които стъпва дисертационният труд, и е показано как се проверява дали съставените по тях документи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w:t>
      </w:r>
      <w:hyperlink r:id="rId21" w:history="1">
        <w:r>
          <w:rPr>
            <w:rStyle w:val="Hyperlink"/>
          </w:rPr>
          <w:t xml:space="preserve">github.com/SimeonAbanos/archetypes-phd</w:t>
        </w:r>
      </w:hyperlink>
      <w:r>
        <w:t xml:space="preserve">. Проверката на валидността се пуска на компютър с Windows, без да се инсталира допълнителен софтуер. Начинът е описан в раздел 5.</w:t>
      </w:r>
    </w:p>
    <w:p>
      <w:pPr>
        <w:pStyle w:val="Heading1"/>
      </w:pPr>
      <w:r>
        <w:t xml:space="preserve">2. Основни понятия</w:t>
      </w:r>
    </w:p>
    <w:p>
      <w:pPr>
        <w:spacing w:after="120"/>
        <w:jc w:val="both"/>
      </w:pPr>
      <w:r>
        <w:t xml:space="preserve">Архетипните модели описват клиничните данни в два слоя. Долният слой е общ и стабилен,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Основните класове са композиция (COMPOSITION), която отговаря на един клиничен документ, секция (SECTION), запис (ENTRY), група (CLUSTER) и елемент (ELEMENT), а пример за тип данни е физичната величина с мерна единица. Всяка от двете рамки има свой референтен модел. Той е еднакъв за всички системи, които я следват, и не се променя, когато се развива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за дефиниране на архетипи (Archetype Definition Language – ADL)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Двете рамки, EN ISO 13606 и openEHR, описват архетипите по един и същ начин – с обектния модел на архетипите и с езика ADL. Обектният модел определя какви ограничения може да съдържа един архетип. Той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spacing w:after="120"/>
        <w:jc w:val="both"/>
      </w:pPr>
      <w:r>
        <w:t xml:space="preserve">Инстанцията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и на типовете данни, а в модела на индекса на телесна маса – на XML схемата на оперативния шаблон, която включва схемата на референтния модел. Той съдържа задължителните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Документът спазва ограниченията на архетипа или на шаблона. Всеки възел е предвиден в модела, стои на мястото си и се среща толкова пъти, колкото е позволено. Стойностите отговарят на ограниченията за интервал, мерна единица, кодова система и образец на текста (регулярен израз).</w:t>
      </w:r>
    </w:p>
    <w:p>
      <w:pPr>
        <w:spacing w:after="120"/>
        <w:jc w:val="both"/>
      </w:pPr>
      <w:r>
        <w:t xml:space="preserve">Обикновено двете нива се проверяват поотделно, защото XML схемата на референтния модел не съдържа сведения за конкретното клинично понятие. Документ с ръст 1780 cm или с деветцифрен единен граждански номер (ЕГН) е правилен по структура, но е грешен по смисъл. Когато XML схемата е изведена от самия архетип, тя съдържа и ограниченията му, затова двете нива се проверяват наведнъж.</w:t>
      </w:r>
    </w:p>
    <w:p>
      <w:pPr>
        <w:spacing w:after="120"/>
        <w:jc w:val="both"/>
      </w:pPr>
      <w:r>
        <w:t xml:space="preserve">Самите архетипи и шаблоните се проверяват спрямо обектния модел на архетипите в средата за моделиране – Archetype Designer при openEHR и LinkEHR Studio при EN ISO 13606. Скриптът в хранилището проверява инстанциите, а не моделите.</w:t>
      </w:r>
    </w:p>
    <w:p>
      <w:pPr>
        <w:pStyle w:val="Heading1"/>
      </w:pPr>
      <w:r>
        <w:t xml:space="preserve">3. Трите модела</w:t>
      </w:r>
    </w:p>
    <w:p>
      <w:pPr>
        <w:pStyle w:val="Heading2"/>
      </w:pPr>
      <w:r>
        <w:t xml:space="preserve">3.1.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Теглото и ръстът са ясни и общоприети понятия, затова вниманието остава върху метода, а не върху клиничната сложност. Индексът обаче се изчислява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автоматично, или е въведен от потребителя. Архетипите на openEHR записват тези условия в самия документ, в атрибутите state (състояние) и protocol (протокол),</w:t>
      </w:r>
      <w:r>
        <w:rPr>
          <w:rFonts w:ascii="Consolas" w:cs="Consolas" w:eastAsia="Consolas" w:hAnsi="Consolas"/>
          <w:sz w:val="21"/>
          <w:szCs w:val="21"/>
        </w:rPr>
        <w:t xml:space="preserve"/>
      </w:r>
      <w:r>
        <w:t xml:space="preserve"/>
      </w:r>
      <w:r>
        <w:rPr>
          <w:rFonts w:ascii="Consolas" w:cs="Consolas" w:eastAsia="Consolas" w:hAnsi="Consolas"/>
          <w:sz w:val="21"/>
          <w:szCs w:val="21"/>
        </w:rPr>
        <w:t xml:space="preserve"/>
      </w:r>
      <w:r>
        <w:t xml:space="preserve"> и така стойността се предава заедно с контекста си.</w:t>
      </w:r>
    </w:p>
    <w:p>
      <w:pPr>
        <w:spacing w:after="120"/>
        <w:jc w:val="both"/>
      </w:pPr>
      <w:r>
        <w:t xml:space="preserve">Моделът следва примера от публикацията [П1]. Файловете са изградени при изготвянето на дисертационния труд, а стойностите в инстанциите са примерни и не се отнасят за реален пациент.</w:t>
      </w:r>
    </w:p>
    <w:p>
      <w:pPr>
        <w:pStyle w:val="Heading3"/>
      </w:pPr>
      <w:r>
        <w:t xml:space="preserve">Стъпки</w:t>
      </w:r>
    </w:p>
    <w:p>
      <w:pPr>
        <w:pStyle w:val="ListParagraph"/>
        <w:numPr>
          <w:ilvl w:val="0"/>
          <w:numId w:val="3"/>
        </w:numPr>
        <w:spacing w:after="100"/>
        <w:jc w:val="left"/>
      </w:pPr>
      <w:r>
        <w:rPr>
          <w:b/>
          <w:bCs/>
        </w:rPr>
        <w:t xml:space="preserve">Повторна употреба на публикувани архетипи.</w:t>
      </w:r>
      <w:r>
        <w:t xml:space="preserve"> Теглото, ръстът и индексът са резултати от наблюдение на пациента, затова и трите се моделират с архетипи от клас OBSERVATION.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международното хранилище за клинично знание на openEHR (Clinical Knowledge Manager – CKM). Взети са от хранилището CKM-mirror в GitHub, което съдържа копие на CKM (github.com/openEHR/CKM-mirror). Одобрените архетипи са прегледани от здравни специалисти, а системите, които използват едни и същи архетипи, могат да тълкуват данните еднакво. Затова нов архетип се създава само когато няма подходящ публикуван.</w:t>
      </w:r>
    </w:p>
    <w:p>
      <w:pPr>
        <w:pStyle w:val="ListParagraph"/>
        <w:numPr>
          <w:ilvl w:val="0"/>
          <w:numId w:val="3"/>
        </w:numPr>
        <w:spacing w:after="100"/>
        <w:jc w:val="both"/>
      </w:pPr>
      <w:r>
        <w:rPr>
          <w:b/>
          <w:bCs/>
        </w:rPr>
        <w:t xml:space="preserve">Документът.</w:t>
      </w:r>
      <w:r>
        <w:t xml:space="preserve"> Архетипът </w:t>
      </w:r>
      <w:r>
        <w:rPr>
          <w:rFonts w:ascii="Consolas" w:cs="Consolas" w:eastAsia="Consolas" w:hAnsi="Consolas"/>
          <w:sz w:val="21"/>
          <w:szCs w:val="21"/>
        </w:rPr>
        <w:t xml:space="preserve">openEHR-EHR-COMPOSITION.anthropometry.v0</w:t>
      </w:r>
      <w:r>
        <w:t xml:space="preserve"> описва целия документ и е написан на езика ADL 1.4. В него има по един слот за всяко от трите наблюдения. Слотът (archetype slot) е място в архетипа, в което шаблонът поставя друг архетип. Archetype Designer потвърждава, че композицията и трите наблюдения са валидни.</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от архетипите за тегло и за ръст отделното събитие за измерване при раждане и оставя по една мерна единица за всяка величина – kg, cm и kg/m2.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(файл с разширение .opt), в който са събрани всички ограничения на четирите архетипа и на шаблона.</w:t>
      </w:r>
    </w:p>
    <w:p>
      <w:pPr>
        <w:pStyle w:val="ListParagraph"/>
        <w:numPr>
          <w:ilvl w:val="0"/>
          <w:numId w:val="3"/>
        </w:numPr>
        <w:spacing w:after="100"/>
        <w:jc w:val="both"/>
      </w:pPr>
      <w:r>
        <w:rPr>
          <w:b/>
          <w:bCs/>
        </w:rPr>
        <w:t xml:space="preserve">XML схемата на оперативния шаблон.</w:t>
      </w:r>
      <w:r>
        <w:t xml:space="preserve"> Тя е изведена от оперативния шаблон със скрипта </w:t>
      </w:r>
      <w:r>
        <w:rPr>
          <w:rFonts w:ascii="Consolas" w:cs="Consolas" w:eastAsia="Consolas" w:hAnsi="Consolas"/>
          <w:sz w:val="21"/>
          <w:szCs w:val="21"/>
        </w:rPr>
        <w:t xml:space="preserve">tds.py</w:t>
      </w:r>
      <w:r>
        <w:t xml:space="preserve"> и се нарича Template Data Schema (TDS). Имената на елементите в нея идват от възлите на шаблона. По вид тя следва схемите, които изнася инструментът Template Designer на Ocean Health Systems. Програмата, с която той ги извежда, се разпространява само заедно с инструмента, затова тук е използван собствен скрипт. Схемата описва само структурата на документа, тоест кои възли съдържа, в какъв ред, колко пъти и от какъв тип. Ограниченията на стойностите са оставени за стъпка 2 на проверката, за да не се смесват двете нива на валидност. Схемата включва XML схемата на референтния модел на openEHR, издание 1.0.2, във варианта на EHRServer 2.3 – сървъра, на който публикацията съхранява инстанциите.</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библиотеката е попълнила със случаен текст. Накрая </w:t>
      </w:r>
      <w:r>
        <w:rPr>
          <w:rFonts w:ascii="Consolas" w:cs="Consolas" w:eastAsia="Consolas" w:hAnsi="Consolas"/>
          <w:sz w:val="21"/>
          <w:szCs w:val="21"/>
        </w:rPr>
        <w:t xml:space="preserve">tds.py</w:t>
      </w:r>
      <w:r>
        <w:t xml:space="preserve"> преобразува инстанцията от общия XML вид на openEHR във вида, който описва XML схемата на оперативния шаблон. Инстанцията се извежда от шаблона, а не се пише ръчно, за да следва точно структурата му. Скриптовете и указанията за пускането им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копие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w:t>
      </w:r>
    </w:p>
    <w:p>
      <w:pPr>
        <w:pStyle w:val="ListParagraph"/>
        <w:numPr>
          <w:ilvl w:val="0"/>
          <w:numId w:val="3"/>
        </w:numPr>
        <w:spacing w:after="100"/>
        <w:jc w:val="both"/>
      </w:pPr>
      <w:r>
        <w:rPr>
          <w:b/>
          <w:bCs/>
        </w:rPr>
        <w:t xml:space="preserve">Проверката.</w:t>
      </w:r>
      <w:r>
        <w:t xml:space="preserve"> Стъпка 1 сравнява инстанциите с XML схемата на оперативния шаблон. Стъпка 2 ги сверява с ограниченията в самия оперативен шаблон за мерни единици, интервали, точност, допустими кодове и архетипи в слотовете. Установява и дали всеки възел на инстанцията е предвиден в шаблона и дали се среща толкова пъти, колкото шаблонът позволява. Преди валидната инстанция да бъде приведена към вида на схемата, тя е проверена и с валидатора на библиотеката openEHR-OPT. Той я сверява с референтния модел и с оперативния шаблон и дава същия резултат.</w:t>
      </w:r>
    </w:p>
    <w:p>
      <w:pPr>
        <w:pStyle w:val="Heading3"/>
      </w:pPr>
      <w:r>
        <w:t xml:space="preserve">Резултат</w:t>
      </w:r>
    </w:p>
    <w:p>
      <w:pPr>
        <w:spacing w:after="120"/>
        <w:jc w:val="both"/>
      </w:pPr>
      <w:r>
        <w:t>Валидната инстанция минава и двете стъпки. Първото невалидно копие се отхвърля още в стъпка 1 (структурна валидност). Второто минава стъпка 1 и се отхвърля в стъпка 2 (семантична валидност), защото схемата приема всяко число, а стойността е извън интервала, който архетипът задава за ръста (Фиг. 1).</w:t>
      </w:r>
    </w:p>
    <w:p>
      <w:pPr>
        <w:keepNext/>
        <w:spacing w:after="80" w:before="120"/>
        <w:ind w:firstLine="0"/>
        <w:jc w:val="center"/>
      </w:pPr>
      <w:r>
        <w:drawing>
          <wp:inline xmlns:a="http://schemas.openxmlformats.org/drawingml/2006/main" xmlns:pic="http://schemas.openxmlformats.org/drawingml/2006/picture">
            <wp:extent cx="5760000" cy="2409545"/>
            <wp:docPr id="1" name="Picture 1"/>
            <wp:cNvGraphicFramePr>
              <a:graphicFrameLocks noChangeAspect="1"/>
            </wp:cNvGraphicFramePr>
            <a:graphic>
              <a:graphicData uri="http://schemas.openxmlformats.org/drawingml/2006/picture">
                <pic:pic>
                  <pic:nvPicPr>
                    <pic:cNvPr id="0" name="Индекс на телесна маса – резултатът от validate-all за трите инстанции.png"/>
                    <pic:cNvPicPr/>
                  </pic:nvPicPr>
                  <pic:blipFill>
                    <a:blip r:embed="rId6"/>
                    <a:stretch>
                      <a:fillRect/>
                    </a:stretch>
                  </pic:blipFill>
                  <pic:spPr>
                    <a:xfrm>
                      <a:off x="0" y="0"/>
                      <a:ext cx="5760000" cy="2409545"/>
                    </a:xfrm>
                    <a:prstGeom prst="rect"/>
                  </pic:spPr>
                </pic:pic>
              </a:graphicData>
            </a:graphic>
          </wp:inline>
        </w:drawing>
      </w:r>
    </w:p>
    <w:p>
      <w:pPr>
        <w:spacing w:after="240"/>
        <w:ind w:firstLine="0"/>
        <w:jc w:val="center"/>
      </w:pPr>
      <w:r>
        <w:t>Фиг. 1. Резултатът от проверката на трите инстанции на индекса на телесна маса</w:t>
      </w:r>
    </w:p>
    <w:p>
      <w:pPr>
        <w:pStyle w:val="Heading3"/>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получен чрез специализация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посочва като възможност проверка спрямо XML схемата, до която се преобразува оперативният шаблон. Тук схемата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Тук стойностите са примерни, а сървърът не е част от хранилището. Освен това публикацията обвързва теглото, ръста и индекса с кодове от SNOMED CT. Тук обвързванията са тези на архетипите в CKM – с LOINC за теглото и ръста и със SNOMED CT и LOINC за индекса.</w:t>
      </w:r>
    </w:p>
    <w:p>
      <w:pPr>
        <w:pStyle w:val="Heading2"/>
      </w:pPr>
      <w:r>
        <w:t xml:space="preserve">3.2. Обобщение на оценката на професионалното здраве (EN ISO 13606) [П2], [СП1]</w:t>
      </w:r>
    </w:p>
    <w:p>
      <w:pPr>
        <w:spacing w:after="120"/>
        <w:jc w:val="both"/>
      </w:pPr>
      <w:r>
        <w:t xml:space="preserve">Моделът описва обобщението на оценката на професионалното здраве (Occupational Health Assessment Summary – OHAS), което събира медицинските оценки от трудовия път на работника.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 Моделът е предназначен за обмен между системи в различни държави.</w:t>
      </w:r>
    </w:p>
    <w:p>
      <w:pPr>
        <w:spacing w:after="120"/>
        <w:jc w:val="left"/>
      </w:pPr>
      <w:r>
        <w:t xml:space="preserve">Моделът е представен в публикацията [П2], а обменът на обобщенията – в [СП1]. Архетипът, трите инстанции и XML схемите на референтния модел и на типовете данни са публикувани от проф. Евгений Кръстев в хранилището </w:t>
      </w:r>
      <w:hyperlink r:id="rId22" w:history="1">
        <w:r>
          <w:rPr>
            <w:rStyle w:val="Hyperlink"/>
          </w:rPr>
          <w:t xml:space="preserve">github.com/euggit/EN13606-archetypes</w:t>
        </w:r>
      </w:hyperlink>
      <w:r>
        <w:t xml:space="preserve">. В archetypes-phd има копие с актуализациите, описани по-долу.</w:t>
      </w:r>
    </w:p>
    <w:p>
      <w:pPr>
        <w:spacing w:after="120"/>
        <w:jc w:val="left"/>
      </w:pPr>
      <w:r>
        <w:t xml:space="preserve">В публикациите инстанциите се съхраняват в специализираната XML база от данни BaseX. Достъпът до тях е чрез XQuery през RESTful уеб услуги на сървър Apache, а клиентът е настолно приложение, изградено с Windows Presentation Foundation. Стандартът няма собствен език за заявки към архетипи, затова XQuery заема мястото му. Върху неизменните пътища в архетипа е изграден стабилен програмен интерфейс. Реализацията не е част от хранилището.</w:t>
      </w:r>
    </w:p>
    <w:p>
      <w:pPr>
        <w:pStyle w:val="Heading3"/>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Изграден е в LinkEHR Studio и е от клас COMPOSITION. Личните данни са запис (ENTRY), а трудовата история е секция (SECTION) с подредени вложени секции, по една за всяка заетост. Подредбата следва хронологията на трудовия път. LinkEHR Studio 1.0.20240603 проверява архетипа спрямо референтния модел и спрямо типовете данни на референтния модел и на обектния модел на архетипите. Резултатът е „The archetype is valid“ (Фиг. 2).</w:t>
      </w:r>
    </w:p>
    <w:p>
      <w:pPr>
        <w:keepNext/>
        <w:spacing w:after="80" w:before="120"/>
        <w:ind w:firstLine="0"/>
        <w:jc w:val="center"/>
      </w:pPr>
      <w:r>
        <w:drawing>
          <wp:inline xmlns:a="http://schemas.openxmlformats.org/drawingml/2006/main" xmlns:pic="http://schemas.openxmlformats.org/drawingml/2006/picture">
            <wp:extent cx="5760720" cy="3500331"/>
            <wp:docPr id="2" name="Picture 2"/>
            <wp:cNvGraphicFramePr>
              <a:graphicFrameLocks noChangeAspect="1"/>
            </wp:cNvGraphicFramePr>
            <a:graphic>
              <a:graphicData uri="http://schemas.openxmlformats.org/drawingml/2006/picture">
                <pic:pic>
                  <pic:nvPicPr>
                    <pic:cNvPr id="0" name="OHAS проверка 2 – LinkEHR Studio потвърждава, че архетипът е валиден.png"/>
                    <pic:cNvPicPr/>
                  </pic:nvPicPr>
                  <pic:blipFill>
                    <a:blip r:embed="rId11"/>
                    <a:stretch>
                      <a:fillRect/>
                    </a:stretch>
                  </pic:blipFill>
                  <pic:spPr>
                    <a:xfrm>
                      <a:off x="0" y="0"/>
                      <a:ext cx="5760720" cy="3500331"/>
                    </a:xfrm>
                    <a:prstGeom prst="rect"/>
                  </pic:spPr>
                </pic:pic>
              </a:graphicData>
            </a:graphic>
          </wp:inline>
        </w:drawing>
      </w:r>
    </w:p>
    <w:p>
      <w:pPr>
        <w:spacing w:after="240"/>
        <w:ind w:firstLine="0"/>
        <w:jc w:val="center"/>
      </w:pPr>
      <w:r>
        <w:t>Фиг. 2. Архетипът на обобщението в LinkEHR Studio и резултатът от проверката му</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Химичният агент се идентифицира с номера си по CAS, както в списъците на ЕС с гранични стойности за експозиция. Кодовата схема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В публикациите пътят по EN ISO 13606 минава без шаблон и без оперативен шаблон. Публикуваните файлове следват първото издание на стандарта, в което шаблони няма – те са въведени с изданието от 2019 г.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от Universidad Politécnica de Valencia.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гранична стойност 150 μg/m³, действаща към момента на публикацията. Нивото в кръвта е 55 μg/dL при препоръчителна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сравнява инстанциите с двете схеми. Стъпка 2 сверява първо възлите, а после стойностите. Всеки възел трябва да има код от архетипа, да стои на мястото, което архетипът му отрежда, да е от правилния клас, да се среща толкова пъти, колкото е позволено, и да има задължителните си атрибути. За всяка стойност се сверяват типът и ограниченията на архетипа. При текстовете това са регулярните изрази, списъците с допустими стойности, езикът и знаковият набор, при кодираните стойности – кодът и кодовата система, а при величините – мерната единица и допустимият интервал, включително двете граници на интервал (IVLPQ). Извън проверката остават съществуването на кода в кодовата система и признаците за подреденост и уникалност на контейнерите (ordered и unique). Концентрацията на химичния агент във въздуха например е физична величина (PQ) в μg/m³ със стойност не по-малка от 0 (Фиг. 3).</w:t>
      </w:r>
    </w:p>
    <w:p>
      <w:pPr>
        <w:keepNext/>
        <w:spacing w:after="80" w:before="120"/>
        <w:ind w:firstLine="0"/>
        <w:jc w:val="center"/>
      </w:pPr>
      <w:r>
        <w:drawing>
          <wp:inline xmlns:a="http://schemas.openxmlformats.org/drawingml/2006/main" xmlns:pic="http://schemas.openxmlformats.org/drawingml/2006/picture">
            <wp:extent cx="5760000" cy="3509276"/>
            <wp:docPr id="3" name="Picture 3"/>
            <wp:cNvGraphicFramePr>
              <a:graphicFrameLocks noChangeAspect="1"/>
            </wp:cNvGraphicFramePr>
            <a:graphic>
              <a:graphicData uri="http://schemas.openxmlformats.org/drawingml/2006/picture">
                <pic:pic>
                  <pic:nvPicPr>
                    <pic:cNvPr id="0" name="OHAS проверка 3 – концентрацията във въздуха като PQ в ug-m3.png"/>
                    <pic:cNvPicPr/>
                  </pic:nvPicPr>
                  <pic:blipFill>
                    <a:blip r:embed="rId12"/>
                    <a:stretch>
                      <a:fillRect/>
                    </a:stretch>
                  </pic:blipFill>
                  <pic:spPr>
                    <a:xfrm>
                      <a:off x="0" y="0"/>
                      <a:ext cx="5760000" cy="3509276"/>
                    </a:xfrm>
                    <a:prstGeom prst="rect"/>
                  </pic:spPr>
                </pic:pic>
              </a:graphicData>
            </a:graphic>
          </wp:inline>
        </w:drawing>
      </w:r>
    </w:p>
    <w:p>
      <w:pPr>
        <w:spacing w:after="240"/>
        <w:ind w:firstLine="0"/>
        <w:jc w:val="center"/>
      </w:pPr>
      <w:r>
        <w:t>Фиг. 3. Концентрацията на химичния агент във въздуха – PQ в μg/m³</w:t>
      </w:r>
    </w:p>
    <w:p>
      <w:pPr>
        <w:pStyle w:val="Heading3"/>
      </w:pPr>
      <w:r>
        <w:t xml:space="preserve">Резултат</w:t>
      </w:r>
    </w:p>
    <w:p>
      <w:pPr>
        <w:spacing w:after="120"/>
        <w:jc w:val="both"/>
      </w:pPr>
      <w:r>
        <w:t xml:space="preserve">С актуализациите трите публикувани инстанции са валидни в двете стъпки. От третата от тях са направени две невалидни копия. Копието без задължителния идентификатор на композицията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 както показва Фиг. 4.</w:t>
      </w:r>
    </w:p>
    <w:p>
      <w:pPr>
        <w:keepNext/>
        <w:spacing w:after="80" w:before="120"/>
        <w:ind w:firstLine="0"/>
        <w:jc w:val="center"/>
      </w:pPr>
      <w:r>
        <w:drawing>
          <wp:inline xmlns:a="http://schemas.openxmlformats.org/drawingml/2006/main" xmlns:pic="http://schemas.openxmlformats.org/drawingml/2006/picture">
            <wp:extent cx="5760000" cy="2982273"/>
            <wp:docPr id="4" name="Picture 4"/>
            <wp:cNvGraphicFramePr>
              <a:graphicFrameLocks noChangeAspect="1"/>
            </wp:cNvGraphicFramePr>
            <a:graphic>
              <a:graphicData uri="http://schemas.openxmlformats.org/drawingml/2006/picture">
                <pic:pic>
                  <pic:nvPicPr>
                    <pic:cNvPr id="0" name="OHAS проверка 7 – резултатът от validate-all за петте инстанции.png"/>
                    <pic:cNvPicPr/>
                  </pic:nvPicPr>
                  <pic:blipFill>
                    <a:blip r:embed="rId13"/>
                    <a:stretch>
                      <a:fillRect/>
                    </a:stretch>
                  </pic:blipFill>
                  <pic:spPr>
                    <a:xfrm>
                      <a:off x="0" y="0"/>
                      <a:ext cx="5760000" cy="2982273"/>
                    </a:xfrm>
                    <a:prstGeom prst="rect"/>
                  </pic:spPr>
                </pic:pic>
              </a:graphicData>
            </a:graphic>
          </wp:inline>
        </w:drawing>
      </w:r>
    </w:p>
    <w:p>
      <w:pPr>
        <w:spacing w:after="240"/>
        <w:ind w:firstLine="0"/>
        <w:jc w:val="center"/>
      </w:pPr>
      <w:r>
        <w:t>Фиг. 4. Резултатът от проверката на петте инстанции на обобщението</w:t>
      </w:r>
    </w:p>
    <w:p>
      <w:pPr>
        <w:pStyle w:val="Heading3"/>
      </w:pPr>
      <w:r>
        <w:t xml:space="preserve">Разлики спрямо публикацията</w:t>
      </w:r>
    </w:p>
    <w:p>
      <w:pPr>
        <w:spacing w:after="120"/>
        <w:jc w:val="left"/>
      </w:pPr>
      <w:r>
        <w:t xml:space="preserve">Копието в archetypes-phd запълва някои пропуски в първоначалната версия на архетипа и на инстанциите – в структурата, в имената и в ограниченията на стойностите. По-съществените засягат йерархията на възлите и типовете данни. Групата за химичен агент може да се повтаря – по една за всеки агент, а агентът има код по CAS като кодирана стойност (CV) и концентрация във въздуха като физична величина (PQ). Картата за предварителен медицински преглед има група за биологичен мониторинг, в която резултатът е PQ, а референтната граница – интервал (IVLPQ). В инстанциите всяко работно място е в своя секция за заетост, а всяка диагноза е кодирана стойност (CV) с код от кодова система, която допуска архетипът. Където диагноза не е записана, стойността носи nullFlavor NI (няма информация). С тези типове данни са записани и стойностите от казуса – кодът на оловото по CAS, концентрацията му във въздуха и нивата в кръвта и в урината заедно с горните им граници. Същите актуализации са подготвени и за хранилището на проф. Кръстев, което остава меродавно за публикуваната версия.</w:t>
      </w:r>
    </w:p>
    <w:p>
      <w:pPr>
        <w:pStyle w:val="Heading2"/>
      </w:pPr>
      <w:r>
        <w:t xml:space="preserve">3.3. Бързо известие за заразна болест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критерии, по които случаят се класифицира като възможен, вероятен или потвърден – клинични, лабораторни и епидемиологични, а при COVID-19 и диагностични образни. В информационната система за регистрация на заразните болести, която съставя известията, класът се определя от правило в приложната логика. Получателят на известието вижда готовия клас и номерата на критериите, но не и тяхното значение. Когато класът е записан като кодирана стойност заедно с критериите, на които се основава, получателят може да го провери по текста на наредбата, без да разполага със системата, която го е определила.</w:t>
      </w:r>
    </w:p>
    <w:p>
      <w:pPr>
        <w:spacing w:after="120"/>
        <w:jc w:val="both"/>
      </w:pPr>
      <w:r>
        <w:t xml:space="preserve">Архетипът е изграден при изготвянето на дисертационния труд като продължение на работата по публикацията [П3]. Публикацията описва системата за регистрация, от която идва валидната инстанция, но в нея няма архетипи.</w:t>
      </w:r>
    </w:p>
    <w:p>
      <w:pPr>
        <w:pStyle w:val="Heading3"/>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Написан е на ADL и е от клас COMPOSITION, с четири секции (SECTION), всяка с един запис (ENTRY). Записът за класификацията съдържа класа и основанията за него, правилото, по което е определен, и датата. Всеки отметнат критерий е отделна група с категорията, номера и текста си. Поне едно основание е задължително, затова клас на случая без основание не може да бъде записан. LinkEHR Studio 1.0.20240603 потвърждава, че архетипът е валиден (Фиг. 5).</w:t>
      </w:r>
    </w:p>
    <w:p>
      <w:pPr>
        <w:keepNext/>
        <w:spacing w:after="80" w:before="120"/>
        <w:ind w:firstLine="0"/>
        <w:jc w:val="center"/>
      </w:pPr>
      <w:r>
        <w:drawing>
          <wp:inline xmlns:a="http://schemas.openxmlformats.org/drawingml/2006/main" xmlns:pic="http://schemas.openxmlformats.org/drawingml/2006/picture">
            <wp:extent cx="5760720" cy="2918867"/>
            <wp:docPr id="6" name="Picture 6"/>
            <wp:cNvGraphicFramePr>
              <a:graphicFrameLocks noChangeAspect="1"/>
            </wp:cNvGraphicFramePr>
            <a:graphic>
              <a:graphicData uri="http://schemas.openxmlformats.org/drawingml/2006/picture">
                <pic:pic>
                  <pic:nvPicPr>
                    <pic:cNvPr id="0" name="LinkEHR-validation-2026-10-04.png"/>
                    <pic:cNvPicPr/>
                  </pic:nvPicPr>
                  <pic:blipFill>
                    <a:blip r:embed="rId15"/>
                    <a:stretch>
                      <a:fillRect/>
                    </a:stretch>
                  </pic:blipFill>
                  <pic:spPr>
                    <a:xfrm>
                      <a:off x="0" y="0"/>
                      <a:ext cx="5760720" cy="2918867"/>
                    </a:xfrm>
                    <a:prstGeom prst="rect"/>
                  </pic:spPr>
                </pic:pic>
              </a:graphicData>
            </a:graphic>
          </wp:inline>
        </w:drawing>
      </w:r>
    </w:p>
    <w:p>
      <w:pPr>
        <w:spacing w:after="240"/>
        <w:ind w:firstLine="0"/>
        <w:jc w:val="center"/>
      </w:pPr>
      <w:r>
        <w:t>Фиг. 5. Архетипът на бързото известие в LinkEHR Studio и резултатът от проверката му</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категорията и номера на критерия в Приложение № 3. Инстанция, в която стойност е кодирана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Изведена е от архетипа ръчно, по образеца на XML схемата на амбулаторния лист (папката ambulatory-list), с по един тип за всеки структурен възел и четири кодови типа. Тя съдържа едновременно референтния модел и ограниченията на архетипа, затова двете нива на валидност се проверяват наведнъж. Типовете данни не се повтарят в нея, а се включват от схемата в 1-reference-model.</w:t>
      </w:r>
    </w:p>
    <w:p>
      <w:pPr>
        <w:pStyle w:val="ListParagraph"/>
        <w:numPr>
          <w:ilvl w:val="0"/>
          <w:numId w:val="5"/>
        </w:numPr>
        <w:spacing w:after="100"/>
        <w:jc w:val="both"/>
      </w:pPr>
      <w:r>
        <w:rPr>
          <w:b/>
          <w:bCs/>
        </w:rPr>
        <w:t xml:space="preserve">Износът.</w:t>
      </w:r>
      <w:r>
        <w:t xml:space="preserve"> От страницата „Архетипно представяне“ системата за регистрация изнася записано известие като инстанция по архетипа. Със същата функция са изнесени и всичките 3003 генерирани известия в базата на системата и всички са валидни спрямо схемата.</w:t>
      </w:r>
    </w:p>
    <w:p>
      <w:pPr>
        <w:pStyle w:val="Heading3"/>
      </w:pPr>
      <w:r>
        <w:t xml:space="preserve">Резултат</w:t>
      </w:r>
    </w:p>
    <w:p>
      <w:pPr>
        <w:spacing w:after="120"/>
        <w:jc w:val="both"/>
      </w:pPr>
      <w:r>
        <w:t xml:space="preserve">Валидната инстанция е изнесено известие за потвърден случай на скарлатина с генерирани данни. В първото невалидно копие датата на класификацията е записана като 17.04.2026, а типът данни изисква вида 2026-04-17. Копието се отхвърля на структурно ниво. Второто кодира класа на случая по Приложение № 1 вместо по Приложение № 2. Структурата му е непроменена, но проверката го отхвърля на семантично ниво (Фиг. 6).</w:t>
      </w:r>
    </w:p>
    <w:p>
      <w:pPr>
        <w:keepNext/>
        <w:spacing w:after="80" w:before="120"/>
        <w:ind w:firstLine="0"/>
        <w:jc w:val="center"/>
      </w:pPr>
      <w:r>
        <w:drawing>
          <wp:inline xmlns:a="http://schemas.openxmlformats.org/drawingml/2006/main" xmlns:pic="http://schemas.openxmlformats.org/drawingml/2006/picture">
            <wp:extent cx="5760000" cy="2074091"/>
            <wp:docPr id="5" name="Picture 5"/>
            <wp:cNvGraphicFramePr>
              <a:graphicFrameLocks noChangeAspect="1"/>
            </wp:cNvGraphicFramePr>
            <a:graphic>
              <a:graphicData uri="http://schemas.openxmlformats.org/drawingml/2006/picture">
                <pic:pic>
                  <pic:nvPicPr>
                    <pic:cNvPr id="0" name="Бързо известие – резултатът от validate-all за трите инстанции.png"/>
                    <pic:cNvPicPr/>
                  </pic:nvPicPr>
                  <pic:blipFill>
                    <a:blip r:embed="rId14"/>
                    <a:stretch>
                      <a:fillRect/>
                    </a:stretch>
                  </pic:blipFill>
                  <pic:spPr>
                    <a:xfrm>
                      <a:off x="0" y="0"/>
                      <a:ext cx="5760000" cy="2074091"/>
                    </a:xfrm>
                    <a:prstGeom prst="rect"/>
                  </pic:spPr>
                </pic:pic>
              </a:graphicData>
            </a:graphic>
          </wp:inline>
        </w:drawing>
      </w:r>
    </w:p>
    <w:p>
      <w:pPr>
        <w:spacing w:after="240"/>
        <w:ind w:firstLine="0"/>
        <w:jc w:val="center"/>
      </w:pPr>
      <w:r>
        <w:t>Фиг. 6. Резултатът от проверката на трите инстанции на бързото известие</w:t>
      </w:r>
    </w:p>
    <w:p>
      <w:pPr>
        <w:spacing w:after="120"/>
        <w:jc w:val="both"/>
      </w:pPr>
      <w:r>
        <w:t>Всичките 3003 известия се зареждат в релационна база по схемата на системата и като инстанции по архетипа в специализираната XML база от данни eXist‑db. Пет справки – по клас на случая, по заболяване, по месеци, по категория на основанията и по възрастови групи – са записани и на SQL, и на XQuery. Двете бази дават еднакви резултати (Фиг. 7). В релационната схема категорията на отметнатия критерий не е записана при известието и заявката на SQL я възстановява от дървото на критериите, както прави приложението. В инстанцията категорията е кодирана стойност и заявката на XQuery я чете направо от документа. Производителността не се мери.</w:t>
      </w:r>
    </w:p>
    <w:p>
      <w:pPr>
        <w:keepNext/>
        <w:spacing w:after="80" w:before="120"/>
        <w:ind w:firstLine="0"/>
        <w:jc w:val="center"/>
      </w:pPr>
      <w:r>
        <w:drawing>
          <wp:inline xmlns:a="http://schemas.openxmlformats.org/drawingml/2006/main" xmlns:pic="http://schemas.openxmlformats.org/drawingml/2006/picture">
            <wp:extent cx="5760000" cy="2078182"/>
            <wp:docPr id="7" name="Picture 7"/>
            <wp:cNvGraphicFramePr>
              <a:graphicFrameLocks noChangeAspect="1"/>
            </wp:cNvGraphicFramePr>
            <a:graphic>
              <a:graphicData uri="http://schemas.openxmlformats.org/drawingml/2006/picture">
                <pic:pic>
                  <pic:nvPicPr>
                    <pic:cNvPr id="0" name="Бързо известие – проверката с двете бази от данни.png"/>
                    <pic:cNvPicPr/>
                  </pic:nvPicPr>
                  <pic:blipFill>
                    <a:blip r:embed="rId20"/>
                    <a:stretch>
                      <a:fillRect/>
                    </a:stretch>
                  </pic:blipFill>
                  <pic:spPr>
                    <a:xfrm>
                      <a:off x="0" y="0"/>
                      <a:ext cx="5760000" cy="2078182"/>
                    </a:xfrm>
                    <a:prstGeom prst="rect"/>
                  </pic:spPr>
                </pic:pic>
              </a:graphicData>
            </a:graphic>
          </wp:inline>
        </w:drawing>
      </w:r>
    </w:p>
    <w:p>
      <w:pPr>
        <w:spacing w:after="240"/>
        <w:ind w:firstLine="0"/>
        <w:jc w:val="center"/>
      </w:pPr>
      <w:r>
        <w:t>Фиг. 7. Резултатът от проверката с двете бази от данни</w:t>
      </w:r>
    </w:p>
    <w:p>
      <w:pPr>
        <w:pStyle w:val="Heading3"/>
      </w:pPr>
      <w:r>
        <w:t xml:space="preserve">Обхват на модела</w:t>
      </w:r>
    </w:p>
    <w:p>
      <w:pPr>
        <w:pStyle w:val="ListParagraph"/>
        <w:numPr>
          <w:ilvl w:val="0"/>
          <w:numId w:val="2"/>
        </w:numPr>
        <w:spacing w:after="80"/>
        <w:jc w:val="both"/>
      </w:pPr>
      <w:r>
        <w:t xml:space="preserve">Класът на случая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XML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със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На две места наредбата повтаря номер: при грип A(H5N1) клиничните критерии носят номерата на лабораторните след тях (17.2.2), а при маларията клиничният критерий носи номера на заглавието си (41.1). Кодът на критерия запазва тези номера, както са в наредбата, а критериите се различават по текста си. Полът се предава с кода, който използва системата, защото наредбата не посочва номенклатура за него, а кодирането му не е описано и в базата.</w:t>
      </w:r>
    </w:p>
    <w:p>
      <w:pPr>
        <w:pStyle w:val="ListParagraph"/>
        <w:numPr>
          <w:ilvl w:val="0"/>
          <w:numId w:val="2"/>
        </w:numPr>
        <w:spacing w:after="80"/>
        <w:jc w:val="both"/>
      </w:pPr>
      <w:r>
        <w:t xml:space="preserve">Моделът следва текста на наредбата така, както е записан в базата от данни на системата.</w:t>
      </w:r>
    </w:p>
    <w:p>
      <w:pPr>
        <w:pStyle w:val="Heading1"/>
      </w:pPr>
      <w:r>
        <w:t xml:space="preserve">4.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2000"/>
        <w:gridCol w:w="25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Обобщение на оценката на професионалното здраве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и композиция, изградена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изграден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 и проверен в LinkEHR Studio</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ограниченията в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5. Как се пуска проверката</w:t>
      </w:r>
    </w:p>
    <w:p>
      <w:pPr>
        <w:pStyle w:val="ListParagraph"/>
        <w:numPr>
          <w:ilvl w:val="0"/>
          <w:numId w:val="6"/>
        </w:numPr>
        <w:spacing w:after="100"/>
        <w:jc w:val="left"/>
      </w:pPr>
      <w:r>
        <w:t xml:space="preserve">Хранилището се изтегля от </w:t>
      </w:r>
      <w:hyperlink r:id="rId21" w:history="1">
        <w:r>
          <w:rPr>
            <w:rStyle w:val="Hyperlink"/>
          </w:rPr>
          <w:t xml:space="preserve">github.com/SimeonAbanos/archetypes-phd</w:t>
        </w:r>
      </w:hyperlink>
      <w:r>
        <w:t xml:space="preserve"> с бутона Code → Download ZIP и се разархивира.</w:t>
      </w:r>
    </w:p>
    <w:p>
      <w:pPr>
        <w:pStyle w:val="ListParagraph"/>
        <w:numPr>
          <w:ilvl w:val="0"/>
          <w:numId w:val="6"/>
        </w:numPr>
        <w:spacing w:after="100"/>
        <w:jc w:val="both"/>
      </w:pPr>
      <w:r>
        <w:t xml:space="preserve">Описаните модели са в папките body-mass-index, occupational-health-assessment-summary и infectious-disease-case-notification. Папката ambulatory-list съдържа архетипа на амбулаторния лист, който не е описан тук. Във всяка папка има четири подпапки – 1-reference-model, 2-archetypes, 3-instances и 4-validity-check, а в infectious-disease-case-notification има и пета – 5-database-check.</w:t>
      </w:r>
    </w:p>
    <w:p>
      <w:pPr>
        <w:pStyle w:val="ListParagraph"/>
        <w:numPr>
          <w:ilvl w:val="0"/>
          <w:numId w:val="6"/>
        </w:numPr>
        <w:spacing w:after="100"/>
        <w:jc w:val="left"/>
      </w:pPr>
      <w:r>
        <w:t xml:space="preserve">Под Windows проверката се пуска с validate-all.cmd в папката 4-validity-check. Файлът пуска скрипта validate.ps1 с Windows PowerShell – средата за скриптове, вградена в Windows. Скриптът изпълнява стъпка 1 за всички инстанции и стъпка 2 за онези, които са минали първата. При бързото известие и при амбулаторния лист двете стъпки са една проверка. Скриптът чете схемите, архетипа или оперативния шаблон и инстанциите от съседните подпапки и не променя нищо.</w:t>
      </w:r>
    </w:p>
    <w:p>
      <w:pPr>
        <w:pStyle w:val="ListParagraph"/>
        <w:numPr>
          <w:ilvl w:val="0"/>
          <w:numId w:val="6"/>
        </w:numPr>
        <w:spacing w:after="100"/>
        <w:jc w:val="both"/>
      </w:pPr>
      <w:r>
        <w:t xml:space="preserve">Прозорецът показва за всяка инстанция резултата от всяка стъпка и дали той съвпада с очаквания. Когато името на файла посочва очаквания резултат (instance-valid, instance-invalid-structural-rm или instance-invalid-semantic-archetype), скриптът го сравнява с действителния. Накрая се извежда обобщение, например „3 instances: 1 valid in both steps, 2 invalid.“ и „All results are as expected from the file names.“ Такива прозорци са показани на Фиг. 1, 4 и 6.</w:t>
      </w:r>
    </w:p>
    <w:p>
      <w:pPr>
        <w:pStyle w:val="ListParagraph"/>
        <w:numPr>
          <w:ilvl w:val="0"/>
          <w:numId w:val="6"/>
        </w:numPr>
        <w:spacing w:after="100"/>
        <w:jc w:val="left"/>
      </w:pPr>
      <w:r>
        <w:t xml:space="preserve">При индекса на телесна маса и при обобщението стъпките могат да се пуснат и поотделно с validate-1-structural-rm.cmd и validate-2-semantic-archetype.cmd.</w:t>
      </w:r>
    </w:p>
    <w:p>
      <w:pPr>
        <w:pStyle w:val="ListParagraph"/>
        <w:numPr>
          <w:ilvl w:val="0"/>
          <w:numId w:val="6"/>
        </w:numPr>
        <w:spacing w:after="100"/>
        <w:jc w:val="left"/>
      </w:pPr>
      <w:r>
        <w:t xml:space="preserve">Проверката с двете бази от данни се пуска отделно – с run-check.cmd в папката infectious-disease-case-notification\5-database-check, когато са пуснати MariaDB или MySQL и eXist‑db. Изискванията и настройките са в README.md в същата папка.</w:t>
      </w:r>
    </w:p>
    <w:p>
      <w:pPr>
        <w:pStyle w:val="Heading1"/>
      </w:pPr>
      <w:r>
        <w:t xml:space="preserve">6. Публикации и хранилища</w:t>
      </w:r>
    </w:p>
    <w:p>
      <w:pPr>
        <w:spacing w:after="80"/>
        <w:ind w:left="680" w:hanging="680"/>
        <w:jc w:val="both"/>
      </w:pPr>
      <w:r>
        <w:t xml:space="preserve">[П1] Evgeniy Krastev, Simeon Abanos, Dimitar Tcharaktchiev, Health Data Exchange Based on Archetypes of Clinical Concepts, Information Systems and Grid Technologies (ISGT 2022), Sofia, Bulgaria, 27–28 May 2022, pp. 98–112. (CEUR-WS.org vol. 3191).</w:t>
      </w:r>
      <w:r>
        <w:t xml:space="preserve"> (</w:t>
      </w:r>
      <w:hyperlink r:id="rId16" w:history="1">
        <w:r>
          <w:rPr>
            <w:rStyle w:val="Hyperlink"/>
          </w:rPr>
          <w:t>open access</w:t>
        </w:r>
      </w:hyperlink>
      <w:r>
        <w:t>).</w:t>
      </w:r>
    </w:p>
    <w:p>
      <w:pPr>
        <w:spacing w:after="80"/>
        <w:ind w:left="680" w:hanging="6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r>
        <w:t xml:space="preserve"> (</w:t>
      </w:r>
      <w:hyperlink r:id="rId17" w:history="1">
        <w:r>
          <w:rPr>
            <w:rStyle w:val="Hyperlink"/>
          </w:rPr>
          <w:t>open access</w:t>
        </w:r>
      </w:hyperlink>
      <w:r>
        <w:t>).</w:t>
      </w:r>
    </w:p>
    <w:p>
      <w:pPr>
        <w:spacing w:after="80"/>
        <w:ind w:left="680" w:hanging="6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r>
        <w:t xml:space="preserve"> (</w:t>
      </w:r>
      <w:hyperlink r:id="rId18" w:history="1">
        <w:r>
          <w:rPr>
            <w:rStyle w:val="Hyperlink"/>
          </w:rPr>
          <w:t>open access</w:t>
        </w:r>
      </w:hyperlink>
      <w:r>
        <w:t>).</w:t>
      </w:r>
    </w:p>
    <w:p>
      <w:pPr>
        <w:spacing w:after="80"/>
        <w:ind w:left="680" w:hanging="6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r>
        <w:t xml:space="preserve"> (</w:t>
      </w:r>
      <w:hyperlink r:id="rId19" w:history="1">
        <w:r>
          <w:rPr>
            <w:rStyle w:val="Hyperlink"/>
          </w:rPr>
          <w:t>open access</w:t>
        </w:r>
      </w:hyperlink>
      <w:r>
        <w:t>).</w:t>
      </w:r>
    </w:p>
    <w:p>
      <w:pPr>
        <w:pStyle w:val="ListParagraph"/>
        <w:numPr>
          <w:ilvl w:val="0"/>
          <w:numId w:val="2"/>
        </w:numPr>
        <w:spacing w:after="80"/>
        <w:jc w:val="left"/>
      </w:pPr>
      <w:hyperlink r:id="rId21" w:history="1">
        <w:r>
          <w:rPr>
            <w:rStyle w:val="Hyperlink"/>
          </w:rPr>
          <w:t xml:space="preserve">github.com/SimeonAbanos/archetypes-phd</w:t>
        </w:r>
      </w:hyperlink>
      <w:r>
        <w:t xml:space="preserve"> – моделите и проверката им към дисертационния труд.</w:t>
      </w:r>
    </w:p>
    <w:p>
      <w:pPr>
        <w:pStyle w:val="ListParagraph"/>
        <w:numPr>
          <w:ilvl w:val="0"/>
          <w:numId w:val="2"/>
        </w:numPr>
        <w:spacing w:after="80"/>
        <w:jc w:val="left"/>
      </w:pPr>
      <w:hyperlink r:id="rId22" w:history="1">
        <w:r>
          <w:rPr>
            <w:rStyle w:val="Hyperlink"/>
          </w:rPr>
          <w:t xml:space="preserve">github.com/euggit/EN13606-archetypes</w:t>
        </w:r>
      </w:hyperlink>
      <w:r>
        <w:t xml:space="preserve"> – публикуваният архетип на обобщението, инстанциите му и XML схемите на референтния модел и на типовете данни.</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 Id="rId6"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ceur-ws.org/Vol-3191/paper09.pdf" TargetMode="External"/><Relationship Id="rId17" Type="http://schemas.openxmlformats.org/officeDocument/2006/relationships/hyperlink" Target="https://www.sciencedirect.com/science/article/pii/S1386505623002253" TargetMode="External"/><Relationship Id="rId18" Type="http://schemas.openxmlformats.org/officeDocument/2006/relationships/hyperlink" Target="https://annual.uni-sofia.bg/index.php/fmi/article/view/987" TargetMode="External"/><Relationship Id="rId19" Type="http://schemas.openxmlformats.org/officeDocument/2006/relationships/hyperlink" Target="https://annual.uni-sofia.bg/index.php/fmi/article/view/575" TargetMode="External"/><Relationship Id="rId20" Type="http://schemas.openxmlformats.org/officeDocument/2006/relationships/image" Target="media/image7.png"/><Relationship Id="rId21" Type="http://schemas.openxmlformats.org/officeDocument/2006/relationships/hyperlink" Target="https://github.com/SimeonAbanos/archetypes-phd" TargetMode="External"/><Relationship Id="rId22" Type="http://schemas.openxmlformats.org/officeDocument/2006/relationships/hyperlink" Target="https://github.com/euggit/EN13606-arche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62</cp:revision>
  <dcterms:created xsi:type="dcterms:W3CDTF">2026-09-27T14:52:00Z</dcterms:created>
  <dcterms:modified xsi:type="dcterms:W3CDTF">2026-10-14T10:09:06Z</dcterms:modified>
</cp:coreProperties>
</file>