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Архетипи, инстанции и проверка на валидността</w:t>
      </w:r>
    </w:p>
    <w:p>
      <w:pPr>
        <w:pStyle w:val="Subtitle"/>
      </w:pPr>
      <w:r>
        <w:t xml:space="preserve">Описание на моделите към дисертационния труд „Моделиране и управление на клинични данни, ориентирани към архетипи“</w:t>
      </w:r>
    </w:p>
    <w:p>
      <w:pPr>
        <w:spacing w:after="360"/>
        <w:jc w:val="center"/>
      </w:pPr>
      <w:r>
        <w:rPr>
          <w:sz w:val="22"/>
          <w:szCs w:val="22"/>
        </w:rPr>
        <w:t xml:space="preserve">Симеон Абанос, ФМИ, СУ „Св. Климент Охридски“, 2026 г.</w:t>
      </w:r>
    </w:p>
    <w:p>
      <w:pPr>
        <w:pStyle w:val="Heading1"/>
      </w:pPr>
      <w:r>
        <w:t xml:space="preserve">1. Предназначение на описанието</w:t>
      </w:r>
    </w:p>
    <w:p>
      <w:pPr>
        <w:jc w:val="both"/>
      </w:pPr>
      <w:r>
        <w:t xml:space="preserve">Описанието е предназначено за читатели, които не работят с архетипи. В него са представени три от моделите на клинични данни, на които стъпва дисертационният труд, и е показано как се проверява дали съставените по тях документи са валидни. Първият модел е по спецификациите openEHR, а другите два – по европейския и международен стандарт EN ISO 13606. За всеки модел са посочени предназначението и произходът му, стъпките на изграждането, използваните средства и причините за избора им.</w:t>
      </w:r>
    </w:p>
    <w:p>
      <w:pPr>
        <w:jc w:val="left"/>
      </w:pPr>
      <w:r>
        <w:t xml:space="preserve">Файловете са публикувани с отворен достъп в хранилището </w:t>
      </w:r>
      <w:hyperlink r:id="rId21" w:history="1">
        <w:r>
          <w:rPr>
            <w:rStyle w:val="Hyperlink"/>
          </w:rPr>
          <w:t xml:space="preserve">github.com/SimeonAbanos/archetypes-phd</w:t>
        </w:r>
      </w:hyperlink>
      <w:r>
        <w:t xml:space="preserve">. Проверката на валидността се пуска на компютър с Windows, без да се инсталира допълнителен софтуер. Начинът е описан в раздел 5.</w:t>
      </w:r>
    </w:p>
    <w:p>
      <w:pPr>
        <w:pStyle w:val="Heading1"/>
      </w:pPr>
      <w:r>
        <w:t xml:space="preserve">2. Основни понятия</w:t>
      </w:r>
    </w:p>
    <w:p>
      <w:pPr>
        <w:jc w:val="both"/>
      </w:pPr>
      <w:r>
        <w:t xml:space="preserve">Архетипните модели описват клиничните данни в два слоя. </w:t>
      </w:r>
      <w:r>
        <w:t xml:space="preserve">Долният слой е фиксиран набор от общи класове и типове данни</w:t>
      </w:r>
      <w:r>
        <w:t xml:space="preserve">, а горният съдържа клиничното знание и може да се развива, без да се променя софтуерът. Подходът се нарича двуслойно моделиране.</w:t>
      </w:r>
    </w:p>
    <w:p>
      <w:pPr>
        <w:pStyle w:val="ListParagraph"/>
        <w:numPr>
          <w:ilvl w:val="0"/>
          <w:numId w:val="2"/>
        </w:numPr>
      </w:pPr>
      <w:r>
        <w:rPr>
          <w:b/>
          <w:bCs/>
        </w:rPr>
        <w:t xml:space="preserve">Референтен модел.</w:t>
      </w:r>
      <w:r>
        <w:t xml:space="preserve"> Малък набор от общи класове и типове данни. Основните класове са композиция (COMPOSITION), която отговаря на един клиничен документ, секция (SECTION), запис (ENTRY), група (CLUSTER) и елемент (ELEMENT), а пример за тип данни е физичната величина с мерна единица. Всяка от двете рамки има свой референтен модел. Той е еднакъв за всички системи, които я следват, и не се променя, когато се развива клиничното знание.</w:t>
      </w:r>
    </w:p>
    <w:p>
      <w:pPr>
        <w:pStyle w:val="ListParagraph"/>
        <w:numPr>
          <w:ilvl w:val="0"/>
          <w:numId w:val="2"/>
        </w:numPr>
      </w:pPr>
      <w:r>
        <w:rPr>
          <w:b/>
          <w:bCs/>
        </w:rPr>
        <w:t xml:space="preserve">Архетип.</w:t>
      </w:r>
      <w:r>
        <w:t xml:space="preserve"> Модел на едно клинично понятие, например телесното тегло, изразен като ограничения върху референтния модел. Архетипът определя от какви елементи се състои понятието, какви стойности са допустими и с кои кодове от международни номенклатури е свързано. Записва се на езика за дефиниране на архетипи (Archetype Definition Language – ADL) и може да се използва повторно в различни системи.</w:t>
      </w:r>
    </w:p>
    <w:p>
      <w:pPr>
        <w:pStyle w:val="ListParagraph"/>
        <w:numPr>
          <w:ilvl w:val="0"/>
          <w:numId w:val="2"/>
        </w:numPr>
      </w:pPr>
      <w:r>
        <w:rPr>
          <w:b/>
          <w:bCs/>
        </w:rPr>
        <w:t xml:space="preserve">Шаблон и оперативен шаблон.</w:t>
      </w:r>
      <w:r>
        <w:t xml:space="preserve"> При openEHR шаблонът обединява няколко архетипа в конкретен документ и ги стеснява според нуждите му. Оперативният шаблон е шаблонът, събран в един файл заедно с всички архетипи, от които е изграден. От него се извеждат XML схема и инстанции и спрямо него се проверяват данните.</w:t>
      </w:r>
    </w:p>
    <w:p>
      <w:pPr>
        <w:pStyle w:val="ListParagraph"/>
        <w:numPr>
          <w:ilvl w:val="0"/>
          <w:numId w:val="2"/>
        </w:numPr>
      </w:pPr>
      <w:r>
        <w:rPr>
          <w:b/>
          <w:bCs/>
        </w:rPr>
        <w:t xml:space="preserve">Инстанция.</w:t>
      </w:r>
      <w:r>
        <w:t xml:space="preserve"> Конкретен документ с данни в XML, съставен по архетипа или по шаблона.</w:t>
      </w:r>
    </w:p>
    <w:p>
      <w:pPr>
        <w:jc w:val="both"/>
      </w:pPr>
      <w:r>
        <w:t xml:space="preserve">Двете рамки, EN ISO 13606 и openEHR, описват архетипите по един и същ начин – с обектния модел на архетипите и с езика ADL. Обектният модел определя какви ограничения може да съдържа един архетип. Той и ADL са разработени от openEHR и са възприети от стандарта. Разликата между рамките е в предназначението им. EN ISO 13606 урежда обмена на извадки от електронното здравно досие между системи, а спецификациите openEHR обхващат целия жизнен цикъл на данните, включително съхранението им и заявките към тях.</w:t>
      </w:r>
    </w:p>
    <w:p>
      <w:pPr>
        <w:jc w:val="both"/>
      </w:pPr>
      <w:r>
        <w:t xml:space="preserve">Инстанцията е валидна, когато отговаря на изискванията на две нива.</w:t>
      </w:r>
    </w:p>
    <w:p>
      <w:pPr>
        <w:pStyle w:val="ListParagraph"/>
        <w:numPr>
          <w:ilvl w:val="0"/>
          <w:numId w:val="2"/>
        </w:numPr>
      </w:pPr>
      <w:r>
        <w:rPr>
          <w:b/>
          <w:bCs/>
        </w:rPr>
        <w:t xml:space="preserve">Структурна валидност.</w:t>
      </w:r>
      <w:r>
        <w:t xml:space="preserve"> Документът съответства на XML схемата на референтния модел и на типовете данни, а в модела на индекса на телесна маса – на XML схемата на оперативния шаблон, която включва схемата на референтния модел. Той съдържа задължителните елементи, в правилния ред и с правилните типове данни.</w:t>
      </w:r>
    </w:p>
    <w:p>
      <w:pPr>
        <w:pStyle w:val="ListParagraph"/>
        <w:numPr>
          <w:ilvl w:val="0"/>
          <w:numId w:val="2"/>
        </w:numPr>
      </w:pPr>
      <w:r>
        <w:rPr>
          <w:b/>
          <w:bCs/>
        </w:rPr>
        <w:t xml:space="preserve">Семантична валидност.</w:t>
      </w:r>
      <w:r>
        <w:t xml:space="preserve"> Документът спазва ограниченията на архетипа или на шаблона. Всеки възел е предвиден в модела, стои на мястото си и се среща толкова пъти, колкото е позволено. Стойностите отговарят на ограниченията за интервал, мерна единица, кодова система и образец на текста (регулярен израз).</w:t>
      </w:r>
    </w:p>
    <w:p>
      <w:pPr>
        <w:jc w:val="both"/>
      </w:pPr>
      <w:r>
        <w:t xml:space="preserve">Обикновено двете нива се проверяват поотделно, защото XML схемата на референтния модел не съдържа сведения за конкретното клинично понятие. Документ с ръст 1780 cm или с деветцифрен единен граждански номер (ЕГН) е правилен по структура, но е грешен по смисъл. Когато XML схемата е изведена от самия архетип, тя съдържа и ограниченията му, затова двете нива се проверяват наведнъж.</w:t>
      </w:r>
    </w:p>
    <w:p>
      <w:pPr>
        <w:jc w:val="both"/>
      </w:pPr>
      <w:r>
        <w:t xml:space="preserve">Самите архетипи и шаблоните се проверяват спрямо обектния модел на архетипите в средата за моделиране – Archetype Designer при openEHR и LinkEHR Studio при EN ISO 13606. Скриптът в хранилището проверява инстанциите, а не моделите.</w:t>
      </w:r>
    </w:p>
    <w:p>
      <w:pPr>
        <w:pStyle w:val="Heading1"/>
      </w:pPr>
      <w:r>
        <w:t xml:space="preserve">3. Трите модела</w:t>
      </w:r>
    </w:p>
    <w:p>
      <w:pPr>
        <w:pStyle w:val="Heading2"/>
      </w:pPr>
      <w:r>
        <w:t xml:space="preserve">3.1. Индекс на телесна маса (openEHR) [П1]</w:t>
      </w:r>
    </w:p>
    <w:p>
      <w:pPr>
        <w:jc w:val="both"/>
      </w:pPr>
      <w:r>
        <w:t xml:space="preserve">Моделът описва документ с антропометрични измервания – телесно тегло, ръст и индекс на телесна маса. </w:t>
      </w:r>
      <w:r>
        <w:t xml:space="preserve">Индексът се изчислява</w:t>
      </w:r>
      <w:r>
        <w:t xml:space="preserve"> и смисълът му зависи от условията на измерването. Има значение дали теглото е измерено с дрехи, в какво положение е измерен ръстът и дали индексът е изчислен автоматично, или е въведен от потребителя. Архетипите на openEHR записват тези условия в самия документ, в атрибутите state (състояние) и protocol (протокол),</w:t>
      </w:r>
      <w:r>
        <w:rPr>
          <w:rStyle w:val="InlineCode"/>
        </w:rPr>
        <w:t xml:space="preserve"/>
      </w:r>
      <w:r>
        <w:t xml:space="preserve"/>
      </w:r>
      <w:r>
        <w:rPr>
          <w:rStyle w:val="InlineCode"/>
        </w:rPr>
        <w:t xml:space="preserve"/>
      </w:r>
      <w:r>
        <w:t xml:space="preserve"> и така стойността се предава заедно с контекста си.</w:t>
      </w:r>
    </w:p>
    <w:p>
      <w:pPr>
        <w:jc w:val="both"/>
      </w:pPr>
      <w:r>
        <w:t xml:space="preserve">Моделът е изграден наново по примера от публикацията [П1]. Стойностите в инстанциите са примерни и не се отнасят за реален пациент.</w:t>
      </w:r>
    </w:p>
    <w:p>
      <w:pPr>
        <w:pStyle w:val="Heading3"/>
      </w:pPr>
      <w:r>
        <w:t xml:space="preserve">Стъпки</w:t>
      </w:r>
    </w:p>
    <w:p>
      <w:pPr>
        <w:pStyle w:val="ListParagraph"/>
        <w:numPr>
          <w:ilvl w:val="0"/>
          <w:numId w:val="3"/>
        </w:numPr>
      </w:pPr>
      <w:r>
        <w:rPr>
          <w:b/>
          <w:bCs/>
        </w:rPr>
        <w:t xml:space="preserve">Повторна употреба на публикувани архетипи.</w:t>
      </w:r>
      <w:r>
        <w:t xml:space="preserve"> Теглото, ръстът и индексът са резултати от наблюдение на пациента, затова и трите се моделират с архетипи от клас OBSERVATION. Използвани са без промяна трите одобрени архетипа </w:t>
      </w:r>
      <w:r>
        <w:rPr>
          <w:rStyle w:val="InlineCode"/>
        </w:rPr>
        <w:t xml:space="preserve">body_weight.v2</w:t>
      </w:r>
      <w:r>
        <w:t xml:space="preserve">, </w:t>
      </w:r>
      <w:r>
        <w:rPr>
          <w:rStyle w:val="InlineCode"/>
        </w:rPr>
        <w:t xml:space="preserve">height.v2</w:t>
      </w:r>
      <w:r>
        <w:t xml:space="preserve"> и </w:t>
      </w:r>
      <w:r>
        <w:rPr>
          <w:rStyle w:val="InlineCode"/>
        </w:rPr>
        <w:t xml:space="preserve">body_mass_index.v2</w:t>
      </w:r>
      <w:r>
        <w:t xml:space="preserve"> от международното хранилище за клинично знание на openEHR (Clinical Knowledge Manager – CKM). Взети са от хранилището CKM-mirror в GitHub, което съдържа копие на CKM (github.com/openEHR/CKM-mirror). Одобрените архетипи са прегледани от медицински специалисти, а системите, които използват едни и същи архетипи, могат да тълкуват данните еднакво.</w:t>
      </w:r>
    </w:p>
    <w:p>
      <w:pPr>
        <w:pStyle w:val="ListParagraph"/>
        <w:numPr>
          <w:ilvl w:val="0"/>
          <w:numId w:val="3"/>
        </w:numPr>
      </w:pPr>
      <w:r>
        <w:rPr>
          <w:b/>
          <w:bCs/>
        </w:rPr>
        <w:t xml:space="preserve">Документът.</w:t>
      </w:r>
      <w:r>
        <w:t xml:space="preserve"> Архетипът </w:t>
      </w:r>
      <w:r>
        <w:rPr>
          <w:rStyle w:val="InlineCode"/>
        </w:rPr>
        <w:t xml:space="preserve">openEHR-EHR-COMPOSITION.anthropometry.v0</w:t>
      </w:r>
      <w:r>
        <w:t xml:space="preserve"> описва целия документ и е написан на езика ADL 1.4. В него има по един слот за всяко от трите наблюдения. Слотът (archetype slot) е място в архетипа, в което шаблонът поставя друг архетип. Archetype Designer потвърждава, че композицията и трите наблюдения са валидни.</w:t>
      </w:r>
    </w:p>
    <w:p>
      <w:pPr>
        <w:pStyle w:val="ListParagraph"/>
        <w:numPr>
          <w:ilvl w:val="0"/>
          <w:numId w:val="3"/>
        </w:numPr>
      </w:pPr>
      <w:r>
        <w:rPr>
          <w:b/>
          <w:bCs/>
        </w:rPr>
        <w:t xml:space="preserve">Шаблонът.</w:t>
      </w:r>
      <w:r>
        <w:t xml:space="preserve"> В уеб средата Archetype Designer (tools.openehr.org/designer, версия 1.25.12) е създаден шаблонът </w:t>
      </w:r>
      <w:r>
        <w:rPr>
          <w:rStyle w:val="InlineCode"/>
        </w:rPr>
        <w:t xml:space="preserve">anthropometric_measurements.en.v0</w:t>
      </w:r>
      <w:r>
        <w:t xml:space="preserve">. Той поставя трите наблюдения в слотовете, изключва от архетипите за тегло и за ръст отделното събитие за измерване при раждане и оставя по една мерна единица за всяка величина – kg, cm и kg/m2. Архетипът за тегло например допуска килограм, грам и фунт, а шаблонът оставя само килограм.</w:t>
      </w:r>
    </w:p>
    <w:p>
      <w:pPr>
        <w:pStyle w:val="ListParagraph"/>
        <w:numPr>
          <w:ilvl w:val="0"/>
          <w:numId w:val="3"/>
        </w:numPr>
      </w:pPr>
      <w:r>
        <w:rPr>
          <w:b/>
          <w:bCs/>
        </w:rPr>
        <w:t xml:space="preserve">Оперативният шаблон.</w:t>
      </w:r>
      <w:r>
        <w:t xml:space="preserve"> Archetype Designer изнася от шаблона оперативен шаблон (файл с разширение .opt), в който са събрани всички ограничения на четирите архетипа и на шаблона.</w:t>
      </w:r>
    </w:p>
    <w:p>
      <w:pPr>
        <w:pStyle w:val="ListParagraph"/>
        <w:numPr>
          <w:ilvl w:val="0"/>
          <w:numId w:val="3"/>
        </w:numPr>
      </w:pPr>
      <w:r>
        <w:rPr>
          <w:b/>
          <w:bCs/>
        </w:rPr>
        <w:t xml:space="preserve">XML схемата на оперативния шаблон.</w:t>
      </w:r>
      <w:r>
        <w:t xml:space="preserve"> Тя е изведена от оперативния шаблон със скрипта </w:t>
      </w:r>
      <w:r>
        <w:rPr>
          <w:rStyle w:val="InlineCode"/>
        </w:rPr>
        <w:t xml:space="preserve">tds.py</w:t>
      </w:r>
      <w:r>
        <w:t xml:space="preserve"> и се нарича Template Data Schema (TDS). Имената на елементите в нея идват от възлите на шаблона. По вид тя следва схемите, които изнася инструментът Template Designer на Ocean Health Systems. Програмата, с която той ги извежда, се разпространява само заедно с инструмента, затова тук е използван собствен скрипт. Схемата описва само структурата на документа, тоест кои възли съдържа, в какъв ред, колко пъти и от какъв тип. Ограниченията на стойностите са оставени за стъпка 2 на проверката, за да не се смесват двете нива на валидност. Схемата включва XML схемата на референтния модел на openEHR, издание 1.0.2, във варианта на EHRServer 2.3 – сървъра, на който публикацията съхранява инстанциите.</w:t>
      </w:r>
    </w:p>
    <w:p>
      <w:pPr>
        <w:pStyle w:val="ListParagraph"/>
        <w:numPr>
          <w:ilvl w:val="0"/>
          <w:numId w:val="3"/>
        </w:numPr>
      </w:pPr>
      <w:r>
        <w:rPr>
          <w:b/>
          <w:bCs/>
        </w:rPr>
        <w:t xml:space="preserve">Инстанцията.</w:t>
      </w:r>
      <w:r>
        <w:t xml:space="preserve"> Програмната библиотека openEHR-OPT на CaboLabs (github.com/ppazos/openEHR-OPT) извежда от оперативния шаблон XML инстанция със случайни стойности. Скриптът </w:t>
      </w:r>
      <w:r>
        <w:rPr>
          <w:rStyle w:val="InlineCode"/>
        </w:rPr>
        <w:t xml:space="preserve">fill.py</w:t>
      </w:r>
      <w:r>
        <w:t xml:space="preserve"> ги заменя с примерни стойности: тегло 82.0 kg, ръст 178.0 cm и индекс 25.9 kg/m2. Той премахва и незадължителните полета, които библиотеката е попълнила със случаен текст. Накрая </w:t>
      </w:r>
      <w:r>
        <w:rPr>
          <w:rStyle w:val="InlineCode"/>
        </w:rPr>
        <w:t xml:space="preserve">tds.py</w:t>
      </w:r>
      <w:r>
        <w:t xml:space="preserve"> преобразува инстанцията от общия XML вид на openEHR във вида, който описва XML схемата на оперативния шаблон. Инстанцията се извежда от шаблона, а не се пише ръчно, за да следва точно структурата му. Скриптовете и указанията за пускането им са в папката 3-instances/generation.</w:t>
      </w:r>
    </w:p>
    <w:p>
      <w:pPr>
        <w:pStyle w:val="ListParagraph"/>
        <w:numPr>
          <w:ilvl w:val="0"/>
          <w:numId w:val="3"/>
        </w:numPr>
      </w:pPr>
      <w:r>
        <w:rPr>
          <w:b/>
          <w:bCs/>
        </w:rPr>
        <w:t xml:space="preserve">Невалидните инстанции.</w:t>
      </w:r>
      <w:r>
        <w:t xml:space="preserve"> От валидната инстанция са направени две копия, всяко с една умишлена грешка. В първото копие наблюдението за индекса не посочва лицето, за което се отнася, въпреки че референтният модел го изисква във всеки запис. Във второто ръстът е 1780.0 cm, сякаш е въведен в милиметри.</w:t>
      </w:r>
    </w:p>
    <w:p>
      <w:pPr>
        <w:pStyle w:val="ListParagraph"/>
        <w:numPr>
          <w:ilvl w:val="0"/>
          <w:numId w:val="3"/>
        </w:numPr>
      </w:pPr>
      <w:r>
        <w:rPr>
          <w:b/>
          <w:bCs/>
        </w:rPr>
        <w:t xml:space="preserve">Проверката.</w:t>
      </w:r>
      <w:r>
        <w:t xml:space="preserve"> Стъпка 1 сравнява инстанциите с XML схемата на оперативния шаблон. Стъпка 2 ги сверява с ограниченията в самия оперативен шаблон за мерни единици, интервали, точност, допустими кодове и архетипи в слотовете. Установява и дали всеки възел на инстанцията е предвиден в шаблона и дали се среща толкова пъти, колкото шаблонът позволява. Преди валидната инстанция да бъде приведена към вида на схемата, тя е проверена и с валидатора на библиотеката openEHR-OPT. Той я сверява с референтния модел и с оперативния шаблон и дава същия резултат.</w:t>
      </w:r>
    </w:p>
    <w:p>
      <w:pPr>
        <w:pStyle w:val="Heading3"/>
      </w:pPr>
      <w:r>
        <w:t xml:space="preserve">Резултат</w:t>
      </w:r>
    </w:p>
    <w:p>
      <w:pPr>
        <w:jc w:val="both"/>
      </w:pPr>
      <w:r>
        <w:t xml:space="preserve">Валидната инстанция минава и двете стъпки. Първото невалидно копие се отхвърля още в стъпка 1 (структурна валидност). </w:t>
      </w:r>
      <w:r>
        <w:t xml:space="preserve">Второто минава стъпка 1, тъй като схемата приема всяко число, но се отхвърля в стъпка 2 (семантична валидност), защото стойността е извън интервала, който архетипът задава за ръста</w:t>
      </w:r>
      <w:r>
        <w:t xml:space="preserve"> (Фиг. 1).</w:t>
      </w:r>
    </w:p>
    <w:p>
      <w:pPr>
        <w:pStyle w:val="Figure"/>
      </w:pPr>
      <w:r>
        <w:drawing>
          <wp:inline xmlns:a="http://schemas.openxmlformats.org/drawingml/2006/main" xmlns:pic="http://schemas.openxmlformats.org/drawingml/2006/picture">
            <wp:extent cx="5760000" cy="2409545"/>
            <wp:docPr id="1" name="Picture 1"/>
            <wp:cNvGraphicFramePr>
              <a:graphicFrameLocks noChangeAspect="1"/>
            </wp:cNvGraphicFramePr>
            <a:graphic>
              <a:graphicData uri="http://schemas.openxmlformats.org/drawingml/2006/picture">
                <pic:pic>
                  <pic:nvPicPr>
                    <pic:cNvPr id="0" name="Индекс на телесна маса – резултатът от validate-all за трите инстанции.png"/>
                    <pic:cNvPicPr/>
                  </pic:nvPicPr>
                  <pic:blipFill>
                    <a:blip r:embed="rId6"/>
                    <a:stretch>
                      <a:fillRect/>
                    </a:stretch>
                  </pic:blipFill>
                  <pic:spPr>
                    <a:xfrm>
                      <a:off x="0" y="0"/>
                      <a:ext cx="5760000" cy="2409545"/>
                    </a:xfrm>
                    <a:prstGeom prst="rect"/>
                  </pic:spPr>
                </pic:pic>
              </a:graphicData>
            </a:graphic>
          </wp:inline>
        </w:drawing>
      </w:r>
    </w:p>
    <w:p>
      <w:pPr>
        <w:pStyle w:val="FigureCaption"/>
      </w:pPr>
      <w:r>
        <w:t>Фиг. 1. Резултатът от проверката на трите инстанции на индекса на телесна маса</w:t>
      </w:r>
    </w:p>
    <w:p>
      <w:pPr>
        <w:pStyle w:val="Heading3"/>
      </w:pPr>
      <w:r>
        <w:t xml:space="preserve">Разлики спрямо публикацията</w:t>
      </w:r>
    </w:p>
    <w:p>
      <w:pPr>
        <w:pStyle w:val="ListParagraph"/>
        <w:numPr>
          <w:ilvl w:val="0"/>
          <w:numId w:val="2"/>
        </w:numPr>
      </w:pPr>
      <w:r>
        <w:t xml:space="preserve">В публикацията архетипът за ръст е изграден по образеца на архетипа за тегло. Тук е използван одобреният в CKM архетип </w:t>
      </w:r>
      <w:r>
        <w:rPr>
          <w:rStyle w:val="InlineCode"/>
        </w:rPr>
        <w:t xml:space="preserve">height.v2</w:t>
      </w:r>
      <w:r>
        <w:t xml:space="preserve"> без промяна.</w:t>
      </w:r>
    </w:p>
    <w:p>
      <w:pPr>
        <w:pStyle w:val="ListParagraph"/>
        <w:numPr>
          <w:ilvl w:val="0"/>
          <w:numId w:val="2"/>
        </w:numPr>
      </w:pPr>
      <w:r>
        <w:t xml:space="preserve">Публикацията посочва като възможност проверка спрямо XML схемата, до която се преобразува оперативният шаблон. Тук схемата е изведена със скрипт и описва само структурата на шаблона.</w:t>
      </w:r>
    </w:p>
    <w:p>
      <w:pPr>
        <w:pStyle w:val="ListParagraph"/>
        <w:numPr>
          <w:ilvl w:val="0"/>
          <w:numId w:val="2"/>
        </w:numPr>
      </w:pPr>
      <w:r>
        <w:t xml:space="preserve">Публикацията зарежда в инстанциите реални данни и ги съхранява на openEHR сървър. Тук стойностите са примерни, а сървърът не е част от хранилището. Освен това публикацията обвързва теглото, ръста и индекса с кодове от SNOMED CT. Тук обвързванията са тези на архетипите в CKM – с LOINC за теглото и ръста и със SNOMED CT и LOINC за индекса.</w:t>
      </w:r>
    </w:p>
    <w:p>
      <w:pPr>
        <w:pStyle w:val="Heading2"/>
      </w:pPr>
      <w:r>
        <w:t xml:space="preserve">3.2. Обобщение на оценката на професионалното здраве (EN ISO 13606) [П2], [СП1]</w:t>
      </w:r>
    </w:p>
    <w:p>
      <w:pPr>
        <w:jc w:val="both"/>
      </w:pPr>
      <w:r>
        <w:t xml:space="preserve">Моделът описва обобщението на оценката на професионалното здраве (Occupational Health Assessment Summary – OHAS), което събира медицинските оценки от трудовия път на работника. Обобщението свързва всяка оценка с работното място, с вредните фактори, на които работникът е бил изложен там, и със заключението за годност.</w:t>
      </w:r>
    </w:p>
    <w:p>
      <w:pPr>
        <w:jc w:val="both"/>
      </w:pPr>
      <w:r>
        <w:t xml:space="preserve">Работник може да натрупа стаж и експозиция на вредни фактори в няколко държави. За профилактиката на професионалните заболявания е важно оценките да се предават между държавите, без да се губи смисълът им. На равнище ЕС няма стандарт за набора от данни на такова обобщение, а изискванията се различават по държави. Затова наборът е изведен от общите изисквания в законодателствата на Франция, България и Белгия.</w:t>
      </w:r>
    </w:p>
    <w:p>
      <w:pPr>
        <w:jc w:val="left"/>
      </w:pPr>
      <w:r>
        <w:t xml:space="preserve">Моделът е представен в публикацията [П2], а обменът на обобщенията – в [СП1]. Архетипът, трите инстанции и XML схемите на референтния модел и на типовете данни са публикувани от проф. Евгений Кръстев в хранилището </w:t>
      </w:r>
      <w:hyperlink r:id="rId22" w:history="1">
        <w:r>
          <w:rPr>
            <w:rStyle w:val="Hyperlink"/>
          </w:rPr>
          <w:t xml:space="preserve">github.com/euggit/EN13606-archetypes</w:t>
        </w:r>
      </w:hyperlink>
      <w:r>
        <w:t xml:space="preserve">. В archetypes-phd има копие с актуализациите, описани по-долу.</w:t>
      </w:r>
    </w:p>
    <w:p>
      <w:pPr>
        <w:jc w:val="left"/>
      </w:pPr>
      <w:r>
        <w:t xml:space="preserve">В публикациите инстанциите се съхраняват в специализираната XML база от данни BaseX. Достъпът до тях е чрез XQuery през RESTful уеб услуги на сървър Apache, а клиентът е настолно приложение, изградено с Windows Presentation Foundation. Стандартът няма собствен език за заявки към архетипи, затова XQuery заема мястото му. </w:t>
      </w:r>
      <w:r>
        <w:t xml:space="preserve">Пътищата в архетипа не се променят, затова върху тях е изграден стабилен програмен интерфейс.</w:t>
      </w:r>
      <w:r>
        <w:t xml:space="preserve"> Реализацията не е част от хранилището.</w:t>
      </w:r>
    </w:p>
    <w:p>
      <w:pPr>
        <w:pStyle w:val="Heading3"/>
      </w:pPr>
      <w:r>
        <w:t xml:space="preserve">Стъпки</w:t>
      </w:r>
    </w:p>
    <w:p>
      <w:pPr>
        <w:pStyle w:val="ListParagraph"/>
        <w:numPr>
          <w:ilvl w:val="0"/>
          <w:numId w:val="4"/>
        </w:numPr>
      </w:pPr>
      <w:r>
        <w:rPr>
          <w:b/>
          <w:bCs/>
        </w:rPr>
        <w:t xml:space="preserve">Наборът от данни.</w:t>
      </w:r>
      <w:r>
        <w:t xml:space="preserve"> Наборът има два дяла – лични данни и трудова история. За всяка заетост трудовата история съдържа девет подраздела: данни за заетостта, фактори на работната среда, предварителни и периодични прегледи (по два подраздела – за задължителните и за незадължителните), заболяване, инвалидност или злополука, индивидуални прегледи и заключения.</w:t>
      </w:r>
    </w:p>
    <w:p>
      <w:pPr>
        <w:pStyle w:val="ListParagraph"/>
        <w:numPr>
          <w:ilvl w:val="0"/>
          <w:numId w:val="4"/>
        </w:numPr>
      </w:pPr>
      <w:r>
        <w:rPr>
          <w:b/>
          <w:bCs/>
        </w:rPr>
        <w:t xml:space="preserve">Архетипът.</w:t>
      </w:r>
      <w:r>
        <w:t xml:space="preserve"> Изграден е в LinkEHR Studio и е от клас COMPOSITION. Личните данни са запис (ENTRY), а трудовата история е секция (SECTION) с подредени вложени секции, по една за всяка заетост. Подредбата следва хронологията на трудовия път. LinkEHR Studio 1.0.20240603 проверява архетипа спрямо референтния модел и спрямо типовете данни на референтния модел и на обектния модел на архетипите. Резултатът е „The archetype is valid“ (Фиг. 2).</w:t>
      </w:r>
    </w:p>
    <w:p>
      <w:pPr>
        <w:pStyle w:val="Figure"/>
      </w:pPr>
      <w:r>
        <w:drawing>
          <wp:inline xmlns:a="http://schemas.openxmlformats.org/drawingml/2006/main" xmlns:pic="http://schemas.openxmlformats.org/drawingml/2006/picture">
            <wp:extent cx="5760720" cy="3500331"/>
            <wp:docPr id="2" name="Picture 2"/>
            <wp:cNvGraphicFramePr>
              <a:graphicFrameLocks noChangeAspect="1"/>
            </wp:cNvGraphicFramePr>
            <a:graphic>
              <a:graphicData uri="http://schemas.openxmlformats.org/drawingml/2006/picture">
                <pic:pic>
                  <pic:nvPicPr>
                    <pic:cNvPr id="0" name="OHAS проверка 2 – LinkEHR Studio потвърждава, че архетипът е валиден.png"/>
                    <pic:cNvPicPr/>
                  </pic:nvPicPr>
                  <pic:blipFill>
                    <a:blip r:embed="rId11"/>
                    <a:stretch>
                      <a:fillRect/>
                    </a:stretch>
                  </pic:blipFill>
                  <pic:spPr>
                    <a:xfrm>
                      <a:off x="0" y="0"/>
                      <a:ext cx="5760720" cy="3500331"/>
                    </a:xfrm>
                    <a:prstGeom prst="rect"/>
                  </pic:spPr>
                </pic:pic>
              </a:graphicData>
            </a:graphic>
          </wp:inline>
        </w:drawing>
      </w:r>
    </w:p>
    <w:p>
      <w:pPr>
        <w:pStyle w:val="FigureCaption"/>
      </w:pPr>
      <w:r>
        <w:t>Фиг. 2. Архетипът на обобщението в LinkEHR Studio и резултатът от проверката му</w:t>
      </w:r>
    </w:p>
    <w:p>
      <w:pPr>
        <w:pStyle w:val="ListParagraph"/>
        <w:numPr>
          <w:ilvl w:val="0"/>
          <w:numId w:val="4"/>
        </w:numPr>
      </w:pPr>
      <w:r>
        <w:rPr>
          <w:b/>
          <w:bCs/>
        </w:rPr>
        <w:t xml:space="preserve">Терминологията.</w:t>
      </w:r>
      <w:r>
        <w:t xml:space="preserve"> Диагнозите са обвързани с МКБ‑10, уврежданията – със SNOMED CT, а мерните единици – с UCUM. Химичният агент се идентифицира с номера си по CAS, както в списъците на ЕС с гранични стойности за експозиция. Кодовата схема се посочва в самия тип данни на стойността.</w:t>
      </w:r>
    </w:p>
    <w:p>
      <w:pPr>
        <w:pStyle w:val="ListParagraph"/>
        <w:numPr>
          <w:ilvl w:val="0"/>
          <w:numId w:val="4"/>
        </w:numPr>
      </w:pPr>
      <w:r>
        <w:rPr>
          <w:b/>
          <w:bCs/>
        </w:rPr>
        <w:t xml:space="preserve">Инстанцията без шаблон.</w:t>
      </w:r>
      <w:r>
        <w:t xml:space="preserve"> </w:t>
      </w:r>
      <w:r>
        <w:t xml:space="preserve">В публикациите няма шаблон и оперативен шаблон, защото публикуваните файлове следват първото издание на стандарта, а шаблоните са въведени с изданието от 2019 г.</w:t>
      </w:r>
      <w:r>
        <w:t xml:space="preserve"> Затова валидната инстанция е изградена направо спрямо XML схемата на референтния модел </w:t>
      </w:r>
      <w:r>
        <w:rPr>
          <w:rStyle w:val="InlineCode"/>
        </w:rPr>
        <w:t xml:space="preserve">EN13606-RM.xsd</w:t>
      </w:r>
      <w:r>
        <w:t xml:space="preserve"> и схемата на типовете данни </w:t>
      </w:r>
      <w:r>
        <w:rPr>
          <w:rStyle w:val="InlineCode"/>
        </w:rPr>
        <w:t xml:space="preserve">TS14796-dataTypes.xsd</w:t>
      </w:r>
      <w:r>
        <w:t xml:space="preserve">. Двете схеми са от Universidad Politécnica de Valencia. След проверката инстанцията служи за образец. Всички инстанции на един архетип имат една и съща структура и пътищата до местата за данни в тях не се променят, така че за следващия работник се попълва само съдържанието.</w:t>
      </w:r>
    </w:p>
    <w:p>
      <w:pPr>
        <w:pStyle w:val="ListParagraph"/>
        <w:numPr>
          <w:ilvl w:val="0"/>
          <w:numId w:val="4"/>
        </w:numPr>
      </w:pPr>
      <w:r>
        <w:rPr>
          <w:b/>
          <w:bCs/>
        </w:rPr>
        <w:t xml:space="preserve">Казусът.</w:t>
      </w:r>
      <w:r>
        <w:t xml:space="preserve"> Моделът е показан с количествен казус – работник с четиригодишен стаж в производство на оловни акумулатори. Концентрацията на олово във въздуха е 120 μg/m³ при гранична стойност 150 μg/m³, действаща към момента на публикацията. Нивото в кръвта е 55 μg/dL при препоръчителна горна граница 25 μg/dL, а в урината – 0.25 μmol/L при горна граница 0.10 μmol/L. Семантичният контекст на прегледите позволява да се постави диагноза G62.2 по МКБ‑10. Данните в казуса са реалистични, а границите, с които се сравняват, са реални. Оттогава границата за олово във въздуха е намалена на 30 μg/m³ с Директива (ЕС) 2024/869.</w:t>
      </w:r>
    </w:p>
    <w:p>
      <w:pPr>
        <w:pStyle w:val="ListParagraph"/>
        <w:numPr>
          <w:ilvl w:val="0"/>
          <w:numId w:val="4"/>
        </w:numPr>
      </w:pPr>
      <w:r>
        <w:rPr>
          <w:b/>
          <w:bCs/>
        </w:rPr>
        <w:t xml:space="preserve">Проверката.</w:t>
      </w:r>
      <w:r>
        <w:t xml:space="preserve"> Стъпка 1 сравнява инстанциите с двете схеми. Стъпка 2 сверява първо възлите, а после стойностите. Всеки възел трябва да има код от архетипа, да стои на мястото, което архетипът му отрежда, да е от правилния клас, да се среща толкова пъти, колкото е позволено, и да има задължителните си атрибути. За всяка стойност се сверяват типът и ограниченията на архетипа. При текстовете това са регулярните изрази, списъците с допустими стойности, езикът и знаковият набор, при кодираните стойности – кодът и кодовата система, а при величините – мерната единица и допустимият интервал, включително двете граници на интервал (IVLPQ). Извън проверката остават съществуването на кода в кодовата система и признаците за подреденост и уникалност на контейнерите (ordered и unique). Концентрацията на химичния агент във въздуха например е физична величина (PQ) в μg/m³ със стойност не по-малка от 0 (Фиг. 3).</w:t>
      </w:r>
    </w:p>
    <w:p>
      <w:pPr>
        <w:pStyle w:val="Figure"/>
      </w:pPr>
      <w:r>
        <w:drawing>
          <wp:inline xmlns:a="http://schemas.openxmlformats.org/drawingml/2006/main" xmlns:pic="http://schemas.openxmlformats.org/drawingml/2006/picture">
            <wp:extent cx="5760000" cy="3509276"/>
            <wp:docPr id="3" name="Picture 3"/>
            <wp:cNvGraphicFramePr>
              <a:graphicFrameLocks noChangeAspect="1"/>
            </wp:cNvGraphicFramePr>
            <a:graphic>
              <a:graphicData uri="http://schemas.openxmlformats.org/drawingml/2006/picture">
                <pic:pic>
                  <pic:nvPicPr>
                    <pic:cNvPr id="0" name="OHAS проверка 3 – концентрацията във въздуха като PQ в ug-m3.png"/>
                    <pic:cNvPicPr/>
                  </pic:nvPicPr>
                  <pic:blipFill>
                    <a:blip r:embed="rId12"/>
                    <a:stretch>
                      <a:fillRect/>
                    </a:stretch>
                  </pic:blipFill>
                  <pic:spPr>
                    <a:xfrm>
                      <a:off x="0" y="0"/>
                      <a:ext cx="5760000" cy="3509276"/>
                    </a:xfrm>
                    <a:prstGeom prst="rect"/>
                  </pic:spPr>
                </pic:pic>
              </a:graphicData>
            </a:graphic>
          </wp:inline>
        </w:drawing>
      </w:r>
    </w:p>
    <w:p>
      <w:pPr>
        <w:pStyle w:val="FigureCaption"/>
      </w:pPr>
      <w:r>
        <w:t>Фиг. 3. Концентрацията на химичния агент във въздуха – PQ в μg/m³</w:t>
      </w:r>
    </w:p>
    <w:p>
      <w:pPr>
        <w:pStyle w:val="Heading3"/>
      </w:pPr>
      <w:r>
        <w:t xml:space="preserve">Резултат</w:t>
      </w:r>
    </w:p>
    <w:p>
      <w:pPr>
        <w:jc w:val="both"/>
      </w:pPr>
      <w:r>
        <w:t xml:space="preserve">С актуализациите трите публикувани инстанции са валидни в двете стъпки. </w:t>
      </w:r>
      <w:r>
        <w:t xml:space="preserve">От третата инстанция са направени две невалидни копия.</w:t>
      </w:r>
      <w:r>
        <w:t xml:space="preserve"> Копието без задължителния идентификатор на композицията </w:t>
      </w:r>
      <w:r>
        <w:rPr>
          <w:rStyle w:val="InlineCode"/>
        </w:rPr>
        <w:t xml:space="preserve">rc_id</w:t>
      </w:r>
      <w:r>
        <w:t xml:space="preserve"> се отхвърля в стъпка 1 (структурна валидност), а копието с деветцифрен ЕГН – в стъпка 2 (семантична валидност), както показва Фиг. 4.</w:t>
      </w:r>
    </w:p>
    <w:p>
      <w:pPr>
        <w:pStyle w:val="Figure"/>
      </w:pPr>
      <w:r>
        <w:drawing>
          <wp:inline xmlns:a="http://schemas.openxmlformats.org/drawingml/2006/main" xmlns:pic="http://schemas.openxmlformats.org/drawingml/2006/picture">
            <wp:extent cx="5760000" cy="2982273"/>
            <wp:docPr id="4" name="Picture 4"/>
            <wp:cNvGraphicFramePr>
              <a:graphicFrameLocks noChangeAspect="1"/>
            </wp:cNvGraphicFramePr>
            <a:graphic>
              <a:graphicData uri="http://schemas.openxmlformats.org/drawingml/2006/picture">
                <pic:pic>
                  <pic:nvPicPr>
                    <pic:cNvPr id="0" name="OHAS проверка 7 – резултатът от validate-all за петте инстанции.png"/>
                    <pic:cNvPicPr/>
                  </pic:nvPicPr>
                  <pic:blipFill>
                    <a:blip r:embed="rId13"/>
                    <a:stretch>
                      <a:fillRect/>
                    </a:stretch>
                  </pic:blipFill>
                  <pic:spPr>
                    <a:xfrm>
                      <a:off x="0" y="0"/>
                      <a:ext cx="5760000" cy="2982273"/>
                    </a:xfrm>
                    <a:prstGeom prst="rect"/>
                  </pic:spPr>
                </pic:pic>
              </a:graphicData>
            </a:graphic>
          </wp:inline>
        </w:drawing>
      </w:r>
    </w:p>
    <w:p>
      <w:pPr>
        <w:pStyle w:val="FigureCaption"/>
      </w:pPr>
      <w:r>
        <w:t>Фиг. 4. Резултатът от проверката на петте инстанции на обобщението</w:t>
      </w:r>
    </w:p>
    <w:p>
      <w:pPr>
        <w:pStyle w:val="Heading3"/>
      </w:pPr>
      <w:r>
        <w:t xml:space="preserve">Разлики спрямо публикацията</w:t>
      </w:r>
    </w:p>
    <w:p>
      <w:pPr>
        <w:jc w:val="left"/>
      </w:pPr>
      <w:r>
        <w:t xml:space="preserve">Копието в archetypes-phd запълва някои пропуски в първоначалната версия на архетипа и на инстанциите – в структурата, в имената и в ограниченията на стойностите. По-съществените засягат йерархията на възлите и типовете данни. Групата за химичен агент може да се повтаря – по една за всеки агент, а агентът има код по CAS като кодирана стойност (CV) и концентрация във въздуха като физична величина (PQ). Картата за предварителен медицински преглед има група за биологичен мониторинг, в която резултатът е PQ, а референтната граница – интервал (IVLPQ). В инстанциите всяко работно място е в своя секция за заетост, а всяка диагноза е кодирана стойност (CV) с код от кодова система, която допуска архетипът. Където диагноза не е записана, стойността носи nullFlavor NI (няма информация). С тези типове данни са записани и стойностите от казуса – кодът на оловото по CAS, концентрацията му във въздуха и нивата в кръвта и в урината заедно с горните им граници. Същите актуализации са подготвени и за хранилището на проф. Кръстев, което остава меродавно за публикуваната версия.</w:t>
      </w:r>
    </w:p>
    <w:p>
      <w:pPr>
        <w:pStyle w:val="Heading2"/>
      </w:pPr>
      <w:r>
        <w:t xml:space="preserve">3.3. Бързо известие при заразно заболяване (EN ISO 13606)</w:t>
      </w:r>
    </w:p>
    <w:p>
      <w:pPr>
        <w:jc w:val="both"/>
      </w:pPr>
      <w:r>
        <w:t xml:space="preserve">Моделът описва бързото известие – документа, с който лекарят съобщава случай на заразна болест по Наредба № 21 на Министерството на здравеопазването.</w:t>
      </w:r>
    </w:p>
    <w:p>
      <w:pPr>
        <w:jc w:val="both"/>
      </w:pPr>
      <w:r>
        <w:t xml:space="preserve">Наредбата определя за всяко заболяване критерии, по които случаят се класифицира като възможен, вероятен или потвърден – клинични, лабораторни и епидемиологични, а при COVID-19 и диагностични образни. В информационната система за регистрация на заразните болести, която съставя известията, класът се определя от правило в приложната логика. Получателят на известието вижда готовия клас и номерата на критериите, но не и тяхното значение. Когато класът е записан като кодирана стойност заедно с критериите, на които се основава, получателят може да го провери по текста на наредбата, без да разполага със системата, която го е определила.</w:t>
      </w:r>
    </w:p>
    <w:p>
      <w:pPr>
        <w:jc w:val="both"/>
      </w:pPr>
      <w:r>
        <w:t xml:space="preserve">Архетипът допълва системата за регистрация, описана в публикацията [П3]. В самата публикация архетипи няма.</w:t>
      </w:r>
    </w:p>
    <w:p>
      <w:pPr>
        <w:pStyle w:val="Heading3"/>
      </w:pPr>
      <w:r>
        <w:t xml:space="preserve">Стъпки</w:t>
      </w:r>
    </w:p>
    <w:p>
      <w:pPr>
        <w:pStyle w:val="ListParagraph"/>
        <w:numPr>
          <w:ilvl w:val="0"/>
          <w:numId w:val="5"/>
        </w:numPr>
      </w:pPr>
      <w:r>
        <w:rPr>
          <w:b/>
          <w:bCs/>
        </w:rPr>
        <w:t xml:space="preserve">Съставът.</w:t>
      </w:r>
      <w:r>
        <w:t xml:space="preserve"> От Наредба № 21 и от базата от данни на системата за регистрация са изведени частите на известието – лицето, заболяването, класификацията на случая и подателят.</w:t>
      </w:r>
    </w:p>
    <w:p>
      <w:pPr>
        <w:pStyle w:val="ListParagraph"/>
        <w:numPr>
          <w:ilvl w:val="0"/>
          <w:numId w:val="5"/>
        </w:numPr>
      </w:pPr>
      <w:r>
        <w:rPr>
          <w:b/>
          <w:bCs/>
        </w:rPr>
        <w:t xml:space="preserve">Архетипът.</w:t>
      </w:r>
      <w:r>
        <w:t xml:space="preserve"> Написан е на ADL и е от клас COMPOSITION, с четири секции (SECTION), всяка с един запис (ENTRY). Записът за класификацията съдържа класа и основанията за него, правилото, по което е определен, и датата. Всеки отметнат критерий е отделна група с категорията, номера и текста си. Поне едно основание е задължително, затова клас на случая без основание не може да бъде записан. LinkEHR Studio 1.0.20240603 потвърждава, че архетипът е валиден (Фиг. 5).</w:t>
      </w:r>
    </w:p>
    <w:p>
      <w:pPr>
        <w:pStyle w:val="Figure"/>
      </w:pPr>
      <w:r>
        <w:drawing>
          <wp:inline xmlns:a="http://schemas.openxmlformats.org/drawingml/2006/main" xmlns:pic="http://schemas.openxmlformats.org/drawingml/2006/picture">
            <wp:extent cx="5760720" cy="2918867"/>
            <wp:docPr id="6" name="Picture 6"/>
            <wp:cNvGraphicFramePr>
              <a:graphicFrameLocks noChangeAspect="1"/>
            </wp:cNvGraphicFramePr>
            <a:graphic>
              <a:graphicData uri="http://schemas.openxmlformats.org/drawingml/2006/picture">
                <pic:pic>
                  <pic:nvPicPr>
                    <pic:cNvPr id="0" name="LinkEHR-validation-2026-10-04.png"/>
                    <pic:cNvPicPr/>
                  </pic:nvPicPr>
                  <pic:blipFill>
                    <a:blip r:embed="rId15"/>
                    <a:stretch>
                      <a:fillRect/>
                    </a:stretch>
                  </pic:blipFill>
                  <pic:spPr>
                    <a:xfrm>
                      <a:off x="0" y="0"/>
                      <a:ext cx="5760720" cy="2918867"/>
                    </a:xfrm>
                    <a:prstGeom prst="rect"/>
                  </pic:spPr>
                </pic:pic>
              </a:graphicData>
            </a:graphic>
          </wp:inline>
        </w:drawing>
      </w:r>
    </w:p>
    <w:p>
      <w:pPr>
        <w:pStyle w:val="FigureCaption"/>
      </w:pPr>
      <w:r>
        <w:t>Фиг. 5. Архетипът на бързото известие в LinkEHR Studio и резултатът от проверката му</w:t>
      </w:r>
    </w:p>
    <w:p>
      <w:pPr>
        <w:pStyle w:val="ListParagraph"/>
        <w:numPr>
          <w:ilvl w:val="0"/>
          <w:numId w:val="5"/>
        </w:numPr>
      </w:pPr>
      <w:r>
        <w:rPr>
          <w:b/>
          <w:bCs/>
        </w:rPr>
        <w:t xml:space="preserve">Кодовите схеми.</w:t>
      </w:r>
      <w:r>
        <w:t xml:space="preserve"> Използвани са четири кодови схеми и всяка е обявена в самия тип данни. ICD10_1998 кодира заболяването по МКБ‑10, NAREDBA21-PRIL1 – номера му в Приложение № 1 към наредбата, NAREDBA21-PRIL2 – класа на случая, а NAREDBA21-PRIL3 – категорията и номера на критерия в Приложение № 3. Инстанция, в която стойност е кодирана по друга кодова схема, не минава проверката.</w:t>
      </w:r>
    </w:p>
    <w:p>
      <w:pPr>
        <w:pStyle w:val="ListParagraph"/>
        <w:numPr>
          <w:ilvl w:val="0"/>
          <w:numId w:val="5"/>
        </w:numPr>
      </w:pPr>
      <w:r>
        <w:rPr>
          <w:b/>
          <w:bCs/>
        </w:rPr>
        <w:t xml:space="preserve">Схемата.</w:t>
      </w:r>
      <w:r>
        <w:t xml:space="preserve"> Изведена е от архетипа ръчно, по образеца на XML схемата на амбулаторния лист (папката ambulatory-list), с по един тип за всеки структурен възел и четири кодови типа. Тя съдържа едновременно референтния модел и ограниченията на архетипа, затова двете нива на валидност се проверяват наведнъж. Типовете данни не се повтарят в нея, а се включват от схемата в 1-reference-model.</w:t>
      </w:r>
    </w:p>
    <w:p>
      <w:pPr>
        <w:pStyle w:val="ListParagraph"/>
        <w:numPr>
          <w:ilvl w:val="0"/>
          <w:numId w:val="5"/>
        </w:numPr>
      </w:pPr>
      <w:r>
        <w:rPr>
          <w:b/>
          <w:bCs/>
        </w:rPr>
        <w:t xml:space="preserve">Износът.</w:t>
      </w:r>
      <w:r>
        <w:t xml:space="preserve"> От страницата „Архетипно представяне“ системата за регистрация изнася записано известие като инстанция по архетипа. Със същата функция са изнесени и всичките 3003 генерирани известия в базата на системата и всички са валидни спрямо схемата.</w:t>
      </w:r>
    </w:p>
    <w:p>
      <w:pPr>
        <w:pStyle w:val="Heading3"/>
      </w:pPr>
      <w:r>
        <w:t xml:space="preserve">Резултат</w:t>
      </w:r>
    </w:p>
    <w:p>
      <w:pPr>
        <w:jc w:val="both"/>
      </w:pPr>
      <w:r>
        <w:t xml:space="preserve">Валидната инстанция е изнесено известие за потвърден случай на скарлатина с генерирани данни. В първото невалидно копие датата на класификацията е записана като 17.04.2026, а типът данни изисква вида 2026-04-17. Копието се отхвърля на структурно ниво. Второто кодира класа на случая по Приложение № 1 вместо по Приложение № 2. Структурата му е непроменена, но проверката го отхвърля на семантично ниво (Фиг. 6).</w:t>
      </w:r>
    </w:p>
    <w:p>
      <w:pPr>
        <w:pStyle w:val="Figure"/>
      </w:pPr>
      <w:r>
        <w:drawing>
          <wp:inline xmlns:a="http://schemas.openxmlformats.org/drawingml/2006/main" xmlns:pic="http://schemas.openxmlformats.org/drawingml/2006/picture">
            <wp:extent cx="5760000" cy="2074091"/>
            <wp:docPr id="5" name="Picture 5"/>
            <wp:cNvGraphicFramePr>
              <a:graphicFrameLocks noChangeAspect="1"/>
            </wp:cNvGraphicFramePr>
            <a:graphic>
              <a:graphicData uri="http://schemas.openxmlformats.org/drawingml/2006/picture">
                <pic:pic>
                  <pic:nvPicPr>
                    <pic:cNvPr id="0" name="Бързо известие – резултатът от validate-all за трите инстанции.png"/>
                    <pic:cNvPicPr/>
                  </pic:nvPicPr>
                  <pic:blipFill>
                    <a:blip r:embed="rId14"/>
                    <a:stretch>
                      <a:fillRect/>
                    </a:stretch>
                  </pic:blipFill>
                  <pic:spPr>
                    <a:xfrm>
                      <a:off x="0" y="0"/>
                      <a:ext cx="5760000" cy="2074091"/>
                    </a:xfrm>
                    <a:prstGeom prst="rect"/>
                  </pic:spPr>
                </pic:pic>
              </a:graphicData>
            </a:graphic>
          </wp:inline>
        </w:drawing>
      </w:r>
    </w:p>
    <w:p>
      <w:pPr>
        <w:pStyle w:val="FigureCaption"/>
      </w:pPr>
      <w:r>
        <w:t>Фиг. 6. Резултатът от проверката на трите инстанции на бързото известие</w:t>
      </w:r>
    </w:p>
    <w:p>
      <w:pPr>
        <w:jc w:val="both"/>
      </w:pPr>
      <w:r>
        <w:t>Всичките 3003 известия се зареждат в релационна база по схемата на системата и като инстанции по архетипа в специализираната XML база от данни eXist‑db. Пет справки – по клас на случая, по заболяване, по месеци, по категория на основанията и по възрастови групи – са записани и на SQL, и на XQuery. Двете бази дават еднакви резултати (Фиг. 7). В релационната схема категорията на отметнатия критерий не е записана при известието и заявката на SQL я възстановява от дървото на критериите, както прави приложението. В инстанцията категорията е кодирана стойност и заявката на XQuery я чете направо от документа. Производителността не се мери.</w:t>
      </w:r>
    </w:p>
    <w:p>
      <w:pPr>
        <w:pStyle w:val="Figure"/>
      </w:pPr>
      <w:r>
        <w:drawing>
          <wp:inline xmlns:a="http://schemas.openxmlformats.org/drawingml/2006/main" xmlns:pic="http://schemas.openxmlformats.org/drawingml/2006/picture">
            <wp:extent cx="5760000" cy="2078182"/>
            <wp:docPr id="7" name="Picture 7"/>
            <wp:cNvGraphicFramePr>
              <a:graphicFrameLocks noChangeAspect="1"/>
            </wp:cNvGraphicFramePr>
            <a:graphic>
              <a:graphicData uri="http://schemas.openxmlformats.org/drawingml/2006/picture">
                <pic:pic>
                  <pic:nvPicPr>
                    <pic:cNvPr id="0" name="Бързо известие – проверката с двете бази от данни.png"/>
                    <pic:cNvPicPr/>
                  </pic:nvPicPr>
                  <pic:blipFill>
                    <a:blip r:embed="rId20"/>
                    <a:stretch>
                      <a:fillRect/>
                    </a:stretch>
                  </pic:blipFill>
                  <pic:spPr>
                    <a:xfrm>
                      <a:off x="0" y="0"/>
                      <a:ext cx="5760000" cy="2078182"/>
                    </a:xfrm>
                    <a:prstGeom prst="rect"/>
                  </pic:spPr>
                </pic:pic>
              </a:graphicData>
            </a:graphic>
          </wp:inline>
        </w:drawing>
      </w:r>
    </w:p>
    <w:p>
      <w:pPr>
        <w:pStyle w:val="FigureCaption"/>
      </w:pPr>
      <w:r>
        <w:t>Фиг. 7. Резултатът от проверката с двете бази от данни</w:t>
      </w:r>
    </w:p>
    <w:p>
      <w:pPr>
        <w:pStyle w:val="Heading3"/>
      </w:pPr>
      <w:r>
        <w:t xml:space="preserve">Обхват на модела</w:t>
      </w:r>
    </w:p>
    <w:p>
      <w:pPr>
        <w:pStyle w:val="ListParagraph"/>
        <w:numPr>
          <w:ilvl w:val="0"/>
          <w:numId w:val="2"/>
        </w:numPr>
      </w:pPr>
      <w:r>
        <w:t xml:space="preserve">Класът на случая се определя от правило в приложната логика, а не следва от семантичното обвързване на критериите.</w:t>
      </w:r>
    </w:p>
    <w:p>
      <w:pPr>
        <w:pStyle w:val="ListParagraph"/>
        <w:numPr>
          <w:ilvl w:val="0"/>
          <w:numId w:val="2"/>
        </w:numPr>
      </w:pPr>
      <w:r>
        <w:t xml:space="preserve">Обменът между системите остава по договорената XML схема, а системата само изнася инстанции по архетипа.</w:t>
      </w:r>
    </w:p>
    <w:p>
      <w:pPr>
        <w:pStyle w:val="ListParagraph"/>
        <w:numPr>
          <w:ilvl w:val="0"/>
          <w:numId w:val="2"/>
        </w:numPr>
      </w:pPr>
      <w:r>
        <w:t xml:space="preserve">За тази област няма архетип по спецификациите openEHR, нито обвързване със SNOMED CT и LOINC.</w:t>
      </w:r>
    </w:p>
    <w:p>
      <w:pPr>
        <w:pStyle w:val="ListParagraph"/>
        <w:numPr>
          <w:ilvl w:val="0"/>
          <w:numId w:val="2"/>
        </w:numPr>
      </w:pPr>
      <w:r>
        <w:t xml:space="preserve">Клиничният критерий на част от заболяванията не е номериран в наредбата, затова номерът на критерия е незадължителен. На две места наредбата повтаря номер: при грип A(H5N1) клиничните критерии носят номерата на лабораторните след тях (17.2.2), а при маларията клиничният критерий носи номера на заглавието си (41.1). Кодът на критерия запазва тези номера, както са в наредбата, а критериите се различават по текста си. Полът се предава с кода, който използва системата, защото наредбата не посочва номенклатура за него, а кодирането му не е описано и в базата.</w:t>
      </w:r>
    </w:p>
    <w:p>
      <w:pPr>
        <w:pStyle w:val="ListParagraph"/>
        <w:numPr>
          <w:ilvl w:val="0"/>
          <w:numId w:val="2"/>
        </w:numPr>
      </w:pPr>
      <w:r>
        <w:t xml:space="preserve">Моделът следва текста на наредбата така, както е записан в базата от данни на системата.</w:t>
      </w:r>
    </w:p>
    <w:p>
      <w:pPr>
        <w:pStyle w:val="Heading1"/>
      </w:pPr>
      <w:r>
        <w:t xml:space="preserve">4. Съпоставка на трите модела</w:t>
      </w:r>
    </w:p>
    <w:tbl>
      <w:tblPr>
        <w:tblStyle w:val="TableDesign"/>
        <w:tblW w:w="9072" w:type="dxa"/>
        <w:tblLayout w:type="fixed"/>
        <w:tblLook w:val="04A0" w:firstRow="1" w:lastRow="0" w:firstColumn="1" w:lastColumn="0" w:noHBand="0" w:noVBand="1"/>
      </w:tblPr>
      <w:tblGrid>
        <w:gridCol w:w="1560"/>
        <w:gridCol w:w="2665"/>
        <w:gridCol w:w="2615"/>
        <w:gridCol w:w="2232"/>
      </w:tblGrid>
      <w:tr>
        <w:trPr>
          <w:tblHeader/>
        </w:trPr>
        <w:tc>
          <w:tcPr>
            <w:tcW w:w="1560" w:type="dxa"/>
          </w:tcPr>
          <w:p>
            <w:pPr>
              <w:pStyle w:val="TableText"/>
            </w:pPr>
            <w:r>
              <w:t xml:space="preserve"/>
            </w:r>
          </w:p>
        </w:tc>
        <w:tc>
          <w:tcPr>
            <w:tcW w:w="2665" w:type="dxa"/>
          </w:tcPr>
          <w:p>
            <w:pPr>
              <w:pStyle w:val="TableText"/>
            </w:pPr>
            <w:r>
              <w:t xml:space="preserve">Индекс на телесна маса [П1]</w:t>
            </w:r>
          </w:p>
        </w:tc>
        <w:tc>
          <w:tcPr>
            <w:tcW w:w="2615" w:type="dxa"/>
          </w:tcPr>
          <w:p>
            <w:pPr>
              <w:pStyle w:val="TableText"/>
            </w:pPr>
            <w:r>
              <w:t xml:space="preserve">Обобщение на оценката на професионалното здраве [П2], [СП1]</w:t>
            </w:r>
          </w:p>
        </w:tc>
        <w:tc>
          <w:tcPr>
            <w:tcW w:w="2232" w:type="dxa"/>
          </w:tcPr>
          <w:p>
            <w:pPr>
              <w:pStyle w:val="TableText"/>
            </w:pPr>
            <w:r>
              <w:t xml:space="preserve">Бързо известие (продължение на [П3])</w:t>
            </w:r>
          </w:p>
        </w:tc>
      </w:tr>
      <w:tr>
        <w:trPr>
          <w:tblHeader w:val="false"/>
        </w:trPr>
        <w:tc>
          <w:tcPr>
            <w:tcW w:w="1560" w:type="dxa"/>
          </w:tcPr>
          <w:p>
            <w:pPr>
              <w:pStyle w:val="TableText"/>
            </w:pPr>
            <w:r>
              <w:rPr>
                <w:b/>
                <w:bCs/>
              </w:rPr>
              <w:t xml:space="preserve">Рамка</w:t>
            </w:r>
          </w:p>
        </w:tc>
        <w:tc>
          <w:tcPr>
            <w:tcW w:w="2665" w:type="dxa"/>
          </w:tcPr>
          <w:p>
            <w:pPr>
              <w:pStyle w:val="TableText"/>
            </w:pPr>
            <w:r>
              <w:rPr>
                <w:b w:val="false"/>
                <w:bCs w:val="false"/>
              </w:rPr>
              <w:t xml:space="preserve">openEHR</w:t>
            </w:r>
          </w:p>
        </w:tc>
        <w:tc>
          <w:tcPr>
            <w:tcW w:w="2615" w:type="dxa"/>
          </w:tcPr>
          <w:p>
            <w:pPr>
              <w:pStyle w:val="TableText"/>
            </w:pPr>
            <w:r>
              <w:rPr>
                <w:b w:val="false"/>
                <w:bCs w:val="false"/>
              </w:rPr>
              <w:t xml:space="preserve">EN ISO 13606</w:t>
            </w:r>
          </w:p>
        </w:tc>
        <w:tc>
          <w:tcPr>
            <w:tcW w:w="2232" w:type="dxa"/>
          </w:tcPr>
          <w:p>
            <w:pPr>
              <w:pStyle w:val="TableText"/>
            </w:pPr>
            <w:r>
              <w:rPr>
                <w:b w:val="false"/>
                <w:bCs w:val="false"/>
              </w:rPr>
              <w:t xml:space="preserve">EN ISO 13606</w:t>
            </w:r>
          </w:p>
        </w:tc>
      </w:tr>
      <w:tr>
        <w:trPr>
          <w:tblHeader w:val="false"/>
        </w:trPr>
        <w:tc>
          <w:tcPr>
            <w:tcW w:w="1560" w:type="dxa"/>
          </w:tcPr>
          <w:p>
            <w:pPr>
              <w:pStyle w:val="TableText"/>
            </w:pPr>
            <w:r>
              <w:rPr>
                <w:b/>
                <w:bCs/>
              </w:rPr>
              <w:t xml:space="preserve">Модел</w:t>
            </w:r>
          </w:p>
        </w:tc>
        <w:tc>
          <w:tcPr>
            <w:tcW w:w="2665" w:type="dxa"/>
          </w:tcPr>
          <w:p>
            <w:pPr>
              <w:pStyle w:val="TableText"/>
            </w:pPr>
            <w:r>
              <w:rPr>
                <w:b w:val="false"/>
                <w:bCs w:val="false"/>
              </w:rPr>
              <w:t xml:space="preserve">три архетипа от CKM и композиция, изградена в Archetype Designer</w:t>
            </w:r>
          </w:p>
        </w:tc>
        <w:tc>
          <w:tcPr>
            <w:tcW w:w="2615" w:type="dxa"/>
          </w:tcPr>
          <w:p>
            <w:pPr>
              <w:pStyle w:val="TableText"/>
            </w:pPr>
            <w:r>
              <w:rPr>
                <w:b w:val="false"/>
                <w:bCs w:val="false"/>
              </w:rPr>
              <w:t xml:space="preserve">архетип, изграден в LinkEHR Studio</w:t>
            </w:r>
          </w:p>
        </w:tc>
        <w:tc>
          <w:tcPr>
            <w:tcW w:w="2232" w:type="dxa"/>
          </w:tcPr>
          <w:p>
            <w:pPr>
              <w:pStyle w:val="TableText"/>
            </w:pPr>
            <w:r>
              <w:rPr>
                <w:b w:val="false"/>
                <w:bCs w:val="false"/>
              </w:rPr>
              <w:t xml:space="preserve">архетип, написан на ADL и проверен в LinkEHR Studio</w:t>
            </w:r>
          </w:p>
        </w:tc>
      </w:tr>
      <w:tr>
        <w:trPr>
          <w:tblHeader w:val="false"/>
        </w:trPr>
        <w:tc>
          <w:tcPr>
            <w:tcW w:w="1560" w:type="dxa"/>
          </w:tcPr>
          <w:p>
            <w:pPr>
              <w:pStyle w:val="TableText"/>
            </w:pPr>
            <w:r>
              <w:rPr>
                <w:b/>
                <w:bCs/>
              </w:rPr>
              <w:t xml:space="preserve">Шаблон</w:t>
            </w:r>
          </w:p>
        </w:tc>
        <w:tc>
          <w:tcPr>
            <w:tcW w:w="2665" w:type="dxa"/>
          </w:tcPr>
          <w:p>
            <w:pPr>
              <w:pStyle w:val="TableText"/>
            </w:pPr>
            <w:r>
              <w:rPr>
                <w:b w:val="false"/>
                <w:bCs w:val="false"/>
              </w:rPr>
              <w:t xml:space="preserve">шаблон и оперативен шаблон</w:t>
            </w:r>
          </w:p>
        </w:tc>
        <w:tc>
          <w:tcPr>
            <w:tcW w:w="2615" w:type="dxa"/>
          </w:tcPr>
          <w:p>
            <w:pPr>
              <w:pStyle w:val="TableText"/>
            </w:pPr>
            <w:r>
              <w:rPr>
                <w:b w:val="false"/>
                <w:bCs w:val="false"/>
              </w:rPr>
              <w:t xml:space="preserve">няма</w:t>
            </w:r>
          </w:p>
        </w:tc>
        <w:tc>
          <w:tcPr>
            <w:tcW w:w="2232" w:type="dxa"/>
          </w:tcPr>
          <w:p>
            <w:pPr>
              <w:pStyle w:val="TableText"/>
            </w:pPr>
            <w:r>
              <w:rPr>
                <w:b w:val="false"/>
                <w:bCs w:val="false"/>
              </w:rPr>
              <w:t xml:space="preserve">няма</w:t>
            </w:r>
          </w:p>
        </w:tc>
      </w:tr>
      <w:tr>
        <w:trPr>
          <w:tblHeader w:val="false"/>
        </w:trPr>
        <w:tc>
          <w:tcPr>
            <w:tcW w:w="1560" w:type="dxa"/>
          </w:tcPr>
          <w:p>
            <w:pPr>
              <w:pStyle w:val="TableText"/>
            </w:pPr>
            <w:r>
              <w:rPr>
                <w:b/>
                <w:bCs/>
              </w:rPr>
              <w:t xml:space="preserve">Инстанция</w:t>
            </w:r>
          </w:p>
        </w:tc>
        <w:tc>
          <w:tcPr>
            <w:tcW w:w="2665" w:type="dxa"/>
          </w:tcPr>
          <w:p>
            <w:pPr>
              <w:pStyle w:val="TableText"/>
            </w:pPr>
            <w:r>
              <w:rPr>
                <w:b w:val="false"/>
                <w:bCs w:val="false"/>
              </w:rPr>
              <w:t xml:space="preserve">изведена от оперативния шаблон с openEHR-OPT и попълнена с примерни стойности</w:t>
            </w:r>
          </w:p>
        </w:tc>
        <w:tc>
          <w:tcPr>
            <w:tcW w:w="2615" w:type="dxa"/>
          </w:tcPr>
          <w:p>
            <w:pPr>
              <w:pStyle w:val="TableText"/>
            </w:pPr>
            <w:r>
              <w:rPr>
                <w:b w:val="false"/>
                <w:bCs w:val="false"/>
              </w:rPr>
              <w:t xml:space="preserve">изградена спрямо схемата на референтния модел, след това служи за образец</w:t>
            </w:r>
          </w:p>
        </w:tc>
        <w:tc>
          <w:tcPr>
            <w:tcW w:w="2232" w:type="dxa"/>
          </w:tcPr>
          <w:p>
            <w:pPr>
              <w:pStyle w:val="TableText"/>
            </w:pPr>
            <w:r>
              <w:rPr>
                <w:b w:val="false"/>
                <w:bCs w:val="false"/>
              </w:rPr>
              <w:t xml:space="preserve">изнесена от системата за регистрация</w:t>
            </w:r>
          </w:p>
        </w:tc>
      </w:tr>
      <w:tr>
        <w:trPr>
          <w:tblHeader w:val="false"/>
        </w:trPr>
        <w:tc>
          <w:tcPr>
            <w:tcW w:w="1560" w:type="dxa"/>
          </w:tcPr>
          <w:p>
            <w:pPr>
              <w:pStyle w:val="TableText"/>
            </w:pPr>
            <w:r>
              <w:rPr>
                <w:b/>
                <w:bCs/>
              </w:rPr>
              <w:t xml:space="preserve">Стъпка 1 (структурна)</w:t>
            </w:r>
          </w:p>
        </w:tc>
        <w:tc>
          <w:tcPr>
            <w:tcW w:w="2665" w:type="dxa"/>
          </w:tcPr>
          <w:p>
            <w:pPr>
              <w:pStyle w:val="TableText"/>
            </w:pPr>
            <w:r>
              <w:rPr>
                <w:b w:val="false"/>
                <w:bCs w:val="false"/>
              </w:rPr>
              <w:t xml:space="preserve">XML схемата на оперативния шаблон</w:t>
            </w:r>
          </w:p>
        </w:tc>
        <w:tc>
          <w:tcPr>
            <w:tcW w:w="2615" w:type="dxa"/>
          </w:tcPr>
          <w:p>
            <w:pPr>
              <w:pStyle w:val="TableText"/>
            </w:pPr>
            <w:r>
              <w:rPr>
                <w:b w:val="false"/>
                <w:bCs w:val="false"/>
              </w:rPr>
              <w:t xml:space="preserve">EN13606-RM.xsd и TS14796-dataTypes.xsd</w:t>
            </w:r>
          </w:p>
        </w:tc>
        <w:tc>
          <w:tcPr>
            <w:tcW w:w="2232" w:type="dxa"/>
          </w:tcPr>
          <w:p>
            <w:pPr>
              <w:pStyle w:val="TableText"/>
            </w:pPr>
            <w:r>
              <w:rPr>
                <w:b w:val="false"/>
                <w:bCs w:val="false"/>
              </w:rPr>
              <w:t xml:space="preserve">схемата, изведена от архетипа, за двете нива наведнъж</w:t>
            </w:r>
          </w:p>
        </w:tc>
      </w:tr>
      <w:tr>
        <w:trPr>
          <w:tblHeader w:val="false"/>
        </w:trPr>
        <w:tc>
          <w:tcPr>
            <w:tcW w:w="1560" w:type="dxa"/>
          </w:tcPr>
          <w:p>
            <w:pPr>
              <w:pStyle w:val="TableText"/>
            </w:pPr>
            <w:r>
              <w:rPr>
                <w:b/>
                <w:bCs/>
              </w:rPr>
              <w:t xml:space="preserve">Стъпка 2 (семантична)</w:t>
            </w:r>
          </w:p>
        </w:tc>
        <w:tc>
          <w:tcPr>
            <w:tcW w:w="2665" w:type="dxa"/>
          </w:tcPr>
          <w:p>
            <w:pPr>
              <w:pStyle w:val="TableText"/>
            </w:pPr>
            <w:r>
              <w:rPr>
                <w:b w:val="false"/>
                <w:bCs w:val="false"/>
              </w:rPr>
              <w:t xml:space="preserve">ограниченията в оперативния шаблон</w:t>
            </w:r>
          </w:p>
        </w:tc>
        <w:tc>
          <w:tcPr>
            <w:tcW w:w="2615" w:type="dxa"/>
          </w:tcPr>
          <w:p>
            <w:pPr>
              <w:pStyle w:val="TableText"/>
            </w:pPr>
            <w:r>
              <w:rPr>
                <w:b w:val="false"/>
                <w:bCs w:val="false"/>
              </w:rPr>
              <w:t>ограниченията в архетипа</w:t>
            </w:r>
          </w:p>
        </w:tc>
        <w:tc>
          <w:tcPr>
            <w:tcW w:w="2232" w:type="dxa"/>
          </w:tcPr>
          <w:p>
            <w:pPr>
              <w:pStyle w:val="TableText"/>
            </w:pPr>
            <w:r>
              <w:rPr>
                <w:b w:val="false"/>
                <w:bCs w:val="false"/>
              </w:rPr>
              <w:t xml:space="preserve">включена в стъпка 1</w:t>
            </w:r>
          </w:p>
        </w:tc>
      </w:tr>
      <w:tr>
        <w:trPr>
          <w:tblHeader w:val="false"/>
        </w:trPr>
        <w:tc>
          <w:tcPr>
            <w:tcW w:w="1560" w:type="dxa"/>
          </w:tcPr>
          <w:p>
            <w:pPr>
              <w:pStyle w:val="TableText"/>
            </w:pPr>
            <w:r>
              <w:rPr>
                <w:b/>
                <w:bCs/>
              </w:rPr>
              <w:t xml:space="preserve">Невалидни копия</w:t>
            </w:r>
          </w:p>
        </w:tc>
        <w:tc>
          <w:tcPr>
            <w:tcW w:w="2665" w:type="dxa"/>
          </w:tcPr>
          <w:p>
            <w:pPr>
              <w:pStyle w:val="TableText"/>
            </w:pPr>
            <w:r>
              <w:rPr>
                <w:b w:val="false"/>
                <w:bCs w:val="false"/>
              </w:rPr>
              <w:t xml:space="preserve">без лицето, за което е записът; ръст 1780 cm</w:t>
            </w:r>
          </w:p>
        </w:tc>
        <w:tc>
          <w:tcPr>
            <w:tcW w:w="2615" w:type="dxa"/>
          </w:tcPr>
          <w:p>
            <w:pPr>
              <w:pStyle w:val="TableText"/>
            </w:pPr>
            <w:r>
              <w:rPr>
                <w:b w:val="false"/>
                <w:bCs w:val="false"/>
              </w:rPr>
              <w:t xml:space="preserve">без rc_id; ЕГН от девет цифри</w:t>
            </w:r>
          </w:p>
        </w:tc>
        <w:tc>
          <w:tcPr>
            <w:tcW w:w="2232" w:type="dxa"/>
          </w:tcPr>
          <w:p>
            <w:pPr>
              <w:pStyle w:val="TableText"/>
            </w:pPr>
            <w:r>
              <w:rPr>
                <w:b w:val="false"/>
                <w:bCs w:val="false"/>
              </w:rPr>
              <w:t xml:space="preserve">дата в друг формат; клас по друга кодова схема</w:t>
            </w:r>
          </w:p>
        </w:tc>
      </w:tr>
    </w:tbl>
    <w:p>
      <w:pPr>
        <w:pStyle w:val="Heading1"/>
      </w:pPr>
      <w:r>
        <w:t xml:space="preserve">5. Как се пуска проверката</w:t>
      </w:r>
    </w:p>
    <w:p>
      <w:pPr>
        <w:pStyle w:val="ListParagraph"/>
        <w:numPr>
          <w:ilvl w:val="0"/>
          <w:numId w:val="6"/>
        </w:numPr>
      </w:pPr>
      <w:r>
        <w:t xml:space="preserve">Хранилището се изтегля от </w:t>
      </w:r>
      <w:hyperlink r:id="rId21" w:history="1">
        <w:r>
          <w:rPr>
            <w:rStyle w:val="Hyperlink"/>
          </w:rPr>
          <w:t xml:space="preserve">github.com/SimeonAbanos/archetypes-phd</w:t>
        </w:r>
      </w:hyperlink>
      <w:r>
        <w:t xml:space="preserve"> с бутона Code → Download ZIP и се разархивира.</w:t>
      </w:r>
    </w:p>
    <w:p>
      <w:pPr>
        <w:pStyle w:val="ListParagraph"/>
        <w:numPr>
          <w:ilvl w:val="0"/>
          <w:numId w:val="6"/>
        </w:numPr>
      </w:pPr>
      <w:r>
        <w:t xml:space="preserve">Описаните модели са в папките body-mass-index, occupational-health-assessment-summary и infectious-disease-case-notification. Папката ambulatory-list съдържа архетипа на амбулаторния лист, който не е описан тук. Във всяка папка има четири подпапки – 1-reference-model, 2-archetypes, 3-instances и 4-validity-check, а в infectious-disease-case-notification има и пета – 5-database-check.</w:t>
      </w:r>
    </w:p>
    <w:p>
      <w:pPr>
        <w:pStyle w:val="ListParagraph"/>
        <w:numPr>
          <w:ilvl w:val="0"/>
          <w:numId w:val="6"/>
        </w:numPr>
      </w:pPr>
      <w:r>
        <w:t xml:space="preserve">Под Windows проверката се пуска с validate-all.cmd в папката 4-validity-check. Файлът пуска скрипта validate.ps1 с Windows PowerShell – средата за скриптове, вградена в Windows. Скриптът изпълнява стъпка 1 за всички инстанции и стъпка 2 за онези, които са минали първата. При бързото известие и при амбулаторния лист двете стъпки са една проверка. Скриптът чете схемите, архетипа или оперативния шаблон и инстанциите от съседните подпапки и не променя нищо.</w:t>
      </w:r>
    </w:p>
    <w:p>
      <w:pPr>
        <w:pStyle w:val="ListParagraph"/>
        <w:numPr>
          <w:ilvl w:val="0"/>
          <w:numId w:val="6"/>
        </w:numPr>
      </w:pPr>
      <w:r>
        <w:t xml:space="preserve">Прозорецът показва за всяка инстанция резултата от всяка стъпка и дали той съвпада с очаквания. Когато името на файла посочва очаквания резултат (instance-valid, instance-invalid-structural-rm или instance-invalid-semantic-archetype), скриптът го сравнява с действителния. Накрая се извежда обобщение, например „3 instances: 1 valid in both steps, 2 invalid.“ и „All results are as expected from the file names.“ Такива прозорци са показани на Фиг. 1, 4 и 6.</w:t>
      </w:r>
    </w:p>
    <w:p>
      <w:pPr>
        <w:pStyle w:val="ListParagraph"/>
        <w:numPr>
          <w:ilvl w:val="0"/>
          <w:numId w:val="6"/>
        </w:numPr>
      </w:pPr>
      <w:r>
        <w:t xml:space="preserve">При индекса на телесна маса и при обобщението стъпките могат да се пуснат и поотделно с validate-1-structural-rm.cmd и validate-2-semantic-archetype.cmd.</w:t>
      </w:r>
    </w:p>
    <w:p>
      <w:pPr>
        <w:pStyle w:val="ListParagraph"/>
        <w:numPr>
          <w:ilvl w:val="0"/>
          <w:numId w:val="6"/>
        </w:numPr>
      </w:pPr>
      <w:r>
        <w:t xml:space="preserve">Проверката с двете бази от данни се пуска отделно – с run-check.cmd в папката infectious-disease-case-notification\5-database-check, когато са пуснати MariaDB или MySQL и eXist‑db. Изискванията и настройките са в README.md в същата папка.</w:t>
      </w:r>
    </w:p>
    <w:p>
      <w:pPr>
        <w:pStyle w:val="Heading1"/>
      </w:pPr>
      <w:r>
        <w:t xml:space="preserve">6. Публикации и хранилища</w:t>
      </w:r>
    </w:p>
    <w:p>
      <w:pPr>
        <w:ind w:left="680" w:hanging="680"/>
        <w:jc w:val="both"/>
      </w:pPr>
      <w:r>
        <w:t xml:space="preserve">[П1] Evgeniy Krastev, Simeon Abanos, Dimitar Tcharaktchiev, Health Data Exchange Based on Archetypes of Clinical Concepts, Information Systems and Grid Technologies (ISGT 2022), Sofia, Bulgaria, 27–28 May 2022, pp. 98–112. (CEUR-WS.org vol. 3191).</w:t>
      </w:r>
      <w:r>
        <w:t xml:space="preserve"> (</w:t>
      </w:r>
      <w:hyperlink r:id="rId16" w:history="1">
        <w:r>
          <w:rPr>
            <w:rStyle w:val="Hyperlink"/>
          </w:rPr>
          <w:t>open access</w:t>
        </w:r>
      </w:hyperlink>
      <w:r>
        <w:t>).</w:t>
      </w:r>
    </w:p>
    <w:p>
      <w:pPr>
        <w:ind w:left="680" w:hanging="680"/>
        <w:jc w:val="both"/>
      </w:pPr>
      <w:r>
        <w:t xml:space="preserve">[П2] Evgeniy Krastev, Dimitar Tcharaktchiev, Petko Kovachev, Simeon Abanos, Occupational Health Assessment Summary Designed for Semantic Interoperability, International Journal of Medical Informatics, vol. 178, 2023, Art. No. 105207. DOI: 10.1016/j.ijmedinf.2023.105207. PMID: 37688835.</w:t>
      </w:r>
      <w:r>
        <w:t xml:space="preserve"> (</w:t>
      </w:r>
      <w:hyperlink r:id="rId17" w:history="1">
        <w:r>
          <w:rPr>
            <w:rStyle w:val="Hyperlink"/>
          </w:rPr>
          <w:t>open access</w:t>
        </w:r>
      </w:hyperlink>
      <w:r>
        <w:t>).</w:t>
      </w:r>
    </w:p>
    <w:p>
      <w:pPr>
        <w:ind w:left="680" w:hanging="680"/>
        <w:jc w:val="both"/>
      </w:pPr>
      <w:r>
        <w:t xml:space="preserve">[СП1] Evgeniy Krastev, Petko Kovachev, Simeon Abanos, Dimitar Tcharaktchiev, Exchange of Occupational Health Assessment Summaries Based on the EN 13606 Standard, Annual of Sofia University “St. Kliment Ohridski”, FMI, vol. 111, 2024, pp. 139–152. DOI: 10.60063/GSU.FMI.111.139-152.</w:t>
      </w:r>
      <w:r>
        <w:t xml:space="preserve"> (</w:t>
      </w:r>
      <w:hyperlink r:id="rId18" w:history="1">
        <w:r>
          <w:rPr>
            <w:rStyle w:val="Hyperlink"/>
          </w:rPr>
          <w:t>open access</w:t>
        </w:r>
      </w:hyperlink>
      <w:r>
        <w:t>).</w:t>
      </w:r>
    </w:p>
    <w:p>
      <w:pPr>
        <w:ind w:left="680" w:hanging="680"/>
        <w:jc w:val="both"/>
      </w:pPr>
      <w:r>
        <w:t xml:space="preserve">[П3] Simeon Abanos, Evgeniy Krastev, Petko Kovachev, Dimitar Tcharaktchiev, Modeling and Clinical Data Exchange in Registration of Infectious Disease Cases, Annual of Sofia University “St. Kliment Ohridski”, FMI, vol. 110, 2023, pp. 7–23. DOI: 10.60063/GSU.FMI.110.7-23.</w:t>
      </w:r>
      <w:r>
        <w:t xml:space="preserve"> (</w:t>
      </w:r>
      <w:hyperlink r:id="rId19" w:history="1">
        <w:r>
          <w:rPr>
            <w:rStyle w:val="Hyperlink"/>
          </w:rPr>
          <w:t>open access</w:t>
        </w:r>
      </w:hyperlink>
      <w:r>
        <w:t>).</w:t>
      </w:r>
    </w:p>
    <w:p>
      <w:pPr>
        <w:pStyle w:val="ListParagraph"/>
        <w:numPr>
          <w:ilvl w:val="0"/>
          <w:numId w:val="2"/>
        </w:numPr>
      </w:pPr>
      <w:hyperlink r:id="rId21" w:history="1">
        <w:r>
          <w:rPr>
            <w:rStyle w:val="Hyperlink"/>
          </w:rPr>
          <w:t xml:space="preserve">github.com/SimeonAbanos/archetypes-phd</w:t>
        </w:r>
      </w:hyperlink>
      <w:r>
        <w:t xml:space="preserve"> – моделите и проверката им към дисертационния труд.</w:t>
      </w:r>
    </w:p>
    <w:p>
      <w:pPr>
        <w:pStyle w:val="ListParagraph"/>
        <w:numPr>
          <w:ilvl w:val="0"/>
          <w:numId w:val="2"/>
        </w:numPr>
      </w:pPr>
      <w:hyperlink r:id="rId22" w:history="1">
        <w:r>
          <w:rPr>
            <w:rStyle w:val="Hyperlink"/>
          </w:rPr>
          <w:t xml:space="preserve">github.com/euggit/EN13606-archetypes</w:t>
        </w:r>
      </w:hyperlink>
      <w:r>
        <w:t xml:space="preserve"> – публикуваният архетип на обобщението, инстанциите му и XML схемите на референтния модел и на типовете данни.</w:t>
      </w:r>
    </w:p>
    <w:p>
      <w:pPr>
        <w:pStyle w:val="ListParagraph"/>
        <w:numPr>
          <w:ilvl w:val="0"/>
          <w:numId w:val="2"/>
        </w:numPr>
      </w:pPr>
      <w:r>
        <w:t xml:space="preserve">github.com/openEHR/CKM-mirror – копието на Clinical Knowledge Manager в GitHub, от което са взети трите наблюдения.</w:t>
      </w:r>
    </w:p>
    <w:p>
      <w:pPr>
        <w:pStyle w:val="ListParagraph"/>
        <w:numPr>
          <w:ilvl w:val="0"/>
          <w:numId w:val="2"/>
        </w:numPr>
      </w:pPr>
      <w:r>
        <w:t xml:space="preserve">github.com/ppazos/openEHR-OPT – библиотеката на CaboLabs за работа с оперативни шаблони.</w:t>
      </w:r>
    </w:p>
    <w:sectPr>
      <w:footerReference w:type="default" r:id="rId7"/>
      <w:pgSz w:w="11906" w:h="16838" w:orient="portrait"/>
      <w:pgMar w:top="1417" w:right="1134"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6" w:hanging="284"/>
      </w:pPr>
    </w:lvl>
  </w:abstractNum>
  <w:abstractNum w:abstractNumId="3" w15:restartNumberingAfterBreak="0">
    <w:multiLevelType w:val="hybridMultilevel"/>
    <w:lvl w:ilvl="0" w15:tentative="1">
      <w:start w:val="1"/>
      <w:numFmt w:val="decimal"/>
      <w:lvlText w:val="%1."/>
      <w:lvlJc w:val="left"/>
      <w:pPr>
        <w:ind w:left="426" w:hanging="426"/>
      </w:pPr>
    </w:lvl>
  </w:abstractNum>
  <w:abstractNum w:abstractNumId="4" w15:restartNumberingAfterBreak="0">
    <w:multiLevelType w:val="hybridMultilevel"/>
    <w:lvl w:ilvl="0" w15:tentative="1">
      <w:start w:val="1"/>
      <w:numFmt w:val="decimal"/>
      <w:lvlText w:val="%1."/>
      <w:lvlJc w:val="left"/>
      <w:pPr>
        <w:ind w:left="426" w:hanging="426"/>
      </w:pPr>
    </w:lvl>
  </w:abstractNum>
  <w:abstractNum w:abstractNumId="5" w15:restartNumberingAfterBreak="0">
    <w:multiLevelType w:val="hybridMultilevel"/>
    <w:lvl w:ilvl="0" w15:tentative="1">
      <w:start w:val="1"/>
      <w:numFmt w:val="decimal"/>
      <w:lvlText w:val="%1."/>
      <w:lvlJc w:val="left"/>
      <w:pPr>
        <w:ind w:left="426" w:hanging="426"/>
      </w:pPr>
    </w:lvl>
  </w:abstractNum>
  <w:abstractNum w:abstractNumId="6" w15:restartNumberingAfterBreak="0">
    <w:multiLevelType w:val="hybridMultilevel"/>
    <w:lvl w:ilvl="0" w15:tentative="1">
      <w:start w:val="1"/>
      <w:numFmt w:val="decimal"/>
      <w:lvlText w:val="%1."/>
      <w:lvlJc w:val="left"/>
      <w:pPr>
        <w:ind w:left="426" w:hanging="42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180"/>
      <w:outlineLvl w:val="0"/>
    </w:pPr>
    <w:rPr>
      <w:color w:val="182940"/>
      <w:sz w:val="36"/>
      <w:szCs w:val="36"/>
    </w:rPr>
  </w:style>
  <w:style w:type="paragraph" w:styleId="Heading2">
    <w:name w:val="heading 2"/>
    <w:basedOn w:val="Normal"/>
    <w:next w:val="Normal"/>
    <w:link w:val="Heading2Char"/>
    <w:uiPriority w:val="9"/>
    <w:semiHidden/>
    <w:unhideWhenUsed/>
    <w:qFormat/>
    <w:pPr>
      <w:keepNext/>
      <w:keepLines/>
      <w:spacing w:before="280" w:after="140"/>
      <w:outlineLvl w:val="1"/>
    </w:pPr>
    <w:rPr>
      <w:color w:val="182940"/>
      <w:sz w:val="32"/>
      <w:szCs w:val="32"/>
    </w:rPr>
  </w:style>
  <w:style w:type="paragraph" w:styleId="Heading3">
    <w:name w:val="heading 3"/>
    <w:basedOn w:val="Normal"/>
    <w:next w:val="Normal"/>
    <w:link w:val="Heading3Char"/>
    <w:uiPriority w:val="9"/>
    <w:semiHidden/>
    <w:unhideWhenUsed/>
    <w:qFormat/>
    <w:pPr>
      <w:keepNext/>
      <w:keepLines/>
      <w:spacing w:before="240" w:after="120"/>
      <w:outlineLvl w:val="2"/>
    </w:pPr>
    <w:rPr>
      <w:color w:val="182940"/>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182940"/>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182940"/>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182940"/>
    </w:rPr>
  </w:style>
  <w:style w:type="paragraph" w:styleId="Heading7">
    <w:name w:val="heading 7"/>
    <w:basedOn w:val="Normal"/>
    <w:next w:val="Normal"/>
    <w:link w:val="Heading7Char"/>
    <w:uiPriority w:val="9"/>
    <w:semiHidden/>
    <w:unhideWhenUsed/>
    <w:qFormat/>
    <w:pPr>
      <w:keepNext/>
      <w:keepLines/>
      <w:spacing w:before="40" w:after="0"/>
      <w:outlineLvl w:val="6"/>
    </w:pPr>
    <w:rPr>
      <w:color w:val="182940"/>
    </w:rPr>
  </w:style>
  <w:style w:type="paragraph" w:styleId="Heading8">
    <w:name w:val="heading 8"/>
    <w:basedOn w:val="Normal"/>
    <w:next w:val="Normal"/>
    <w:link w:val="Heading8Char"/>
    <w:uiPriority w:val="9"/>
    <w:semiHidden/>
    <w:unhideWhenUsed/>
    <w:qFormat/>
    <w:pPr>
      <w:keepNext/>
      <w:keepLines/>
      <w:spacing w:after="0"/>
      <w:outlineLvl w:val="7"/>
    </w:pPr>
    <w:rPr>
      <w:i/>
      <w:iCs/>
      <w:color w:val="182940"/>
    </w:rPr>
  </w:style>
  <w:style w:type="paragraph" w:styleId="Heading9">
    <w:name w:val="heading 9"/>
    <w:basedOn w:val="Normal"/>
    <w:next w:val="Normal"/>
    <w:link w:val="Heading9Char"/>
    <w:uiPriority w:val="9"/>
    <w:semiHidden/>
    <w:unhideWhenUsed/>
    <w:qFormat/>
    <w:pPr>
      <w:keepNext/>
      <w:keepLines/>
      <w:spacing w:after="0"/>
      <w:outlineLvl w:val="8"/>
    </w:pPr>
    <w:rPr>
      <w:color w:val="1829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color w:val="182940"/>
      <w:sz w:val="36"/>
      <w:szCs w:val="36"/>
    </w:rPr>
  </w:style>
  <w:style w:type="character" w:customStyle="1" w:styleId="Heading2Char">
    <w:name w:val="Heading 2 Char"/>
    <w:basedOn w:val="DefaultParagraphFont"/>
    <w:link w:val="Heading2"/>
    <w:uiPriority w:val="9"/>
    <w:semiHidden/>
    <w:rPr>
      <w:rFonts w:ascii="Times New Roman" w:eastAsia="Times New Roman" w:hAnsi="Times New Roman" w:cs="Times New Roman"/>
      <w:color w:val="182940"/>
      <w:sz w:val="32"/>
      <w:szCs w:val="32"/>
    </w:rPr>
  </w:style>
  <w:style w:type="character" w:customStyle="1" w:styleId="Heading3Char">
    <w:name w:val="Heading 3 Char"/>
    <w:basedOn w:val="DefaultParagraphFont"/>
    <w:link w:val="Heading3"/>
    <w:uiPriority w:val="9"/>
    <w:semiHidden/>
    <w:rPr>
      <w:rFonts w:ascii="Times New Roman" w:eastAsia="Times New Roman" w:hAnsi="Times New Roman" w:cs="Times New Roman"/>
      <w:color w:val="182940"/>
      <w:sz w:val="28"/>
      <w:szCs w:val="28"/>
    </w:rPr>
  </w:style>
  <w:style w:type="character" w:customStyle="1" w:styleId="Heading4Char">
    <w:name w:val="Heading 4 Char"/>
    <w:basedOn w:val="DefaultParagraphFont"/>
    <w:link w:val="Heading4"/>
    <w:uiPriority w:val="9"/>
    <w:semiHidden/>
    <w:rPr>
      <w:rFonts w:ascii="Times New Roman" w:eastAsia="Times New Roman" w:hAnsi="Times New Roman" w:cs="Times New Roman"/>
      <w:i/>
      <w:iCs/>
      <w:color w:val="182940"/>
    </w:rPr>
  </w:style>
  <w:style w:type="character" w:customStyle="1" w:styleId="Heading5Char">
    <w:name w:val="Heading 5 Char"/>
    <w:basedOn w:val="DefaultParagraphFont"/>
    <w:link w:val="Heading5"/>
    <w:uiPriority w:val="9"/>
    <w:semiHidden/>
    <w:rPr>
      <w:rFonts w:ascii="Times New Roman" w:eastAsia="Times New Roman" w:hAnsi="Times New Roman" w:cs="Times New Roman"/>
      <w:color w:val="182940"/>
    </w:rPr>
  </w:style>
  <w:style w:type="character" w:customStyle="1" w:styleId="Heading6Char">
    <w:name w:val="Heading 6 Char"/>
    <w:basedOn w:val="DefaultParagraphFont"/>
    <w:link w:val="Heading6"/>
    <w:uiPriority w:val="9"/>
    <w:semiHidden/>
    <w:rPr>
      <w:rFonts w:ascii="Times New Roman" w:eastAsia="Times New Roman" w:hAnsi="Times New Roman" w:cs="Times New Roman"/>
      <w:i/>
      <w:iCs/>
      <w:color w:val="182940"/>
    </w:rPr>
  </w:style>
  <w:style w:type="character" w:customStyle="1" w:styleId="Heading7Char">
    <w:name w:val="Heading 7 Char"/>
    <w:basedOn w:val="DefaultParagraphFont"/>
    <w:link w:val="Heading7"/>
    <w:uiPriority w:val="9"/>
    <w:semiHidden/>
    <w:rPr>
      <w:rFonts w:ascii="Times New Roman" w:eastAsia="Times New Roman" w:hAnsi="Times New Roman" w:cs="Times New Roman"/>
      <w:color w:val="182940"/>
    </w:rPr>
  </w:style>
  <w:style w:type="character" w:customStyle="1" w:styleId="Heading8Char">
    <w:name w:val="Heading 8 Char"/>
    <w:basedOn w:val="DefaultParagraphFont"/>
    <w:link w:val="Heading8"/>
    <w:uiPriority w:val="9"/>
    <w:semiHidden/>
    <w:rPr>
      <w:rFonts w:ascii="Times New Roman" w:eastAsia="Times New Roman" w:hAnsi="Times New Roman" w:cs="Times New Roman"/>
      <w:i/>
      <w:iCs/>
      <w:color w:val="182940"/>
    </w:rPr>
  </w:style>
  <w:style w:type="character" w:customStyle="1" w:styleId="Heading9Char">
    <w:name w:val="Heading 9 Char"/>
    <w:basedOn w:val="DefaultParagraphFont"/>
    <w:link w:val="Heading9"/>
    <w:uiPriority w:val="9"/>
    <w:semiHidden/>
    <w:rPr>
      <w:rFonts w:ascii="Times New Roman" w:eastAsia="Times New Roman" w:hAnsi="Times New Roman" w:cs="Times New Roman"/>
      <w:color w:val="182940"/>
    </w:rPr>
  </w:style>
  <w:style w:type="paragraph" w:styleId="Title">
    <w:name w:val="Title"/>
    <w:basedOn w:val="Normal"/>
    <w:next w:val="Normal"/>
    <w:link w:val="TitleChar"/>
    <w:uiPriority w:val="10"/>
    <w:qFormat/>
    <w:pPr>
      <w:spacing w:after="120" w:line="240" w:lineRule="auto"/>
      <w:contextualSpacing/>
      <w:jc w:val="center"/>
    </w:pPr>
    <w:rPr>
      <w:b/>
      <w:bCs/>
      <w:color w:val="182940"/>
      <w:kern w:val="28"/>
      <w:sz w:val="40"/>
      <w:szCs w:val="40"/>
    </w:rPr>
  </w:style>
  <w:style w:type="character" w:customStyle="1" w:styleId="TitleChar">
    <w:name w:val="Title Char"/>
    <w:basedOn w:val="DefaultParagraphFont"/>
    <w:link w:val="Title"/>
    <w:uiPriority w:val="10"/>
    <w:rPr>
      <w:rFonts w:ascii="Times New Roman" w:eastAsia="Times New Roman" w:hAnsi="Times New Roman" w:cs="Times New Roman"/>
      <w:b/>
      <w:bCs/>
      <w:color w:val="182940"/>
      <w:kern w:val="28"/>
      <w:sz w:val="40"/>
      <w:szCs w:val="40"/>
    </w:rPr>
  </w:style>
  <w:style w:type="paragraph" w:styleId="Subtitle">
    <w:name w:val="Subtitle"/>
    <w:basedOn w:val="Normal"/>
    <w:next w:val="Normal"/>
    <w:link w:val="SubtitleChar"/>
    <w:uiPriority w:val="11"/>
    <w:qFormat/>
    <w:pPr>
      <w:numPr>
        <w:ilvl w:val="1"/>
      </w:numPr>
      <w:spacing w:after="360"/>
      <w:jc w:val="center"/>
    </w:pPr>
    <w:rPr>
      <w:color w:val="404040"/>
    </w:rPr>
  </w:style>
  <w:style w:type="character" w:customStyle="1" w:styleId="SubtitleChar">
    <w:name w:val="Subtitle Char"/>
    <w:basedOn w:val="DefaultParagraphFont"/>
    <w:link w:val="Subtitle"/>
    <w:uiPriority w:val="11"/>
    <w:rPr>
      <w:rFonts w:ascii="Times New Roman" w:eastAsia="Times New Roman" w:hAnsi="Times New Roman" w:cs="Times New Roman"/>
      <w:color w:val="404040"/>
      <w:sz w:val="24"/>
      <w:szCs w:val="24"/>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Caption">
    <w:name w:val="caption"/>
    <w:basedOn w:val="Normal"/>
    <w:next w:val="Normal"/>
    <w:uiPriority w:val="35"/>
    <w:unhideWhenUsed/>
    <w:qFormat/>
    <w:pPr>
      <w:keepNext/>
      <w:keepLines/>
      <w:spacing w:before="120" w:after="80" w:line="240" w:lineRule="auto"/>
    </w:pPr>
    <w:rPr>
      <w:b/>
      <w:bCs/>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Text">
    <w:name w:val="Table Text"/>
    <w:basedOn w:val="Normal"/>
    <w:uiPriority w:val="4"/>
    <w:qFormat/>
    <w:pPr>
      <w:keepLines/>
      <w:spacing w:after="0" w:line="240" w:lineRule="auto"/>
    </w:pPr>
    <w:rPr>
      <w:sz w:val="22"/>
      <w:szCs w:val="22"/>
    </w:rPr>
  </w:style>
  <w:style w:type="paragraph" w:customStyle="1" w:styleId="CodeBlock">
    <w:name w:val="Code Block"/>
    <w:basedOn w:val="Normal"/>
    <w:uiPriority w:val="10"/>
    <w:qFormat/>
    <w:pPr>
      <w:keepLines/>
      <w:suppressAutoHyphens/>
      <w:spacing w:before="120" w:after="200" w:line="240" w:lineRule="auto"/>
      <w:ind w:left="284"/>
      <w:contextualSpacing/>
    </w:pPr>
    <w:rPr>
      <w:rFonts w:ascii="Consolas" w:eastAsia="Consolas" w:hAnsi="Consolas" w:cs="Consolas"/>
      <w:noProof/>
      <w:sz w:val="18"/>
      <w:szCs w:val="18"/>
    </w:rPr>
  </w:style>
  <w:style w:type="table" w:customStyle="1" w:styleId="TableDesign">
    <w:name w:val="Table Design"/>
    <w:basedOn w:val="TableNormal"/>
    <w:uiPriority w:val="4"/>
    <w:qFormat/>
    <w:rPr>
      <w:sz w:val="22"/>
    </w:rPr>
    <w:tblPr>
      <w:tblStyleRowBandSize w:val="1"/>
      <w:tblBorders>
        <w:top w:val="single" w:sz="4" w:space="0" w:color="D2DDEB"/>
        <w:left w:val="single" w:sz="4" w:space="0" w:color="D2DDEB"/>
        <w:bottom w:val="single" w:sz="4" w:space="0" w:color="D2DDEB"/>
        <w:right w:val="single" w:sz="4" w:space="0" w:color="D2DDEB"/>
        <w:insideH w:val="single" w:sz="4" w:space="0" w:color="D2DDEB"/>
        <w:insideV w:val="single" w:sz="4" w:space="0" w:color="D2DDEB"/>
      </w:tblBorders>
      <w:tblCellMar>
        <w:top w:w="57" w:type="dxa"/>
        <w:bottom w:w="57" w:type="dxa"/>
      </w:tblCellMar>
    </w:tblPr>
    <w:tcPr>
      <w:vAlign w:val="center"/>
    </w:tcPr>
    <w:tblStylePr w:type="firstRow">
      <w:rPr>
        <w:b/>
        <w:bCs/>
        <w:color w:val="FFFFFF"/>
        <w:sz w:val="22"/>
      </w:rPr>
      <w:tblPr/>
      <w:tcPr>
        <w:tcBorders>
          <w:top w:val="single" w:sz="4" w:space="0" w:color="D2DDEB"/>
          <w:left w:val="single" w:sz="4" w:space="0" w:color="D2DDEB"/>
          <w:bottom w:val="single" w:sz="4" w:space="0" w:color="D2DDEB"/>
          <w:right w:val="single" w:sz="4" w:space="0" w:color="D2DDEB"/>
          <w:insideH w:val="single" w:sz="4" w:space="0" w:color="D2DDEB"/>
          <w:insideV w:val="single" w:sz="4" w:space="0" w:color="D2DDEB"/>
        </w:tcBorders>
        <w:shd w:val="clear" w:color="auto" w:fill="475B75"/>
        <w:vAlign w:val="center"/>
      </w:tcPr>
    </w:tblStylePr>
    <w:tblStylePr w:type="firstCol">
      <w:tblPr/>
      <w:tcPr>
        <w:tcBorders>
          <w:top w:val="single" w:sz="4" w:space="0" w:color="D2DDEB"/>
          <w:left w:val="single" w:sz="4" w:space="0" w:color="D2DDEB"/>
          <w:bottom w:val="single" w:sz="4" w:space="0" w:color="D2DDEB"/>
          <w:right w:val="single" w:sz="4" w:space="0" w:color="D2DDEB"/>
          <w:insideH w:val="single" w:sz="4" w:space="0" w:color="D2DDEB"/>
          <w:insideV w:val="single" w:sz="4" w:space="0" w:color="D2DDEB"/>
        </w:tcBorders>
        <w:shd w:val="clear" w:color="auto" w:fill="E6EBF2"/>
      </w:tcPr>
    </w:tblStylePr>
    <w:tblStylePr w:type="band2Horz">
      <w:tblPr/>
      <w:tcPr>
        <w:tcBorders>
          <w:top w:val="single" w:sz="4" w:space="0" w:color="D2DDEB"/>
          <w:left w:val="single" w:sz="4" w:space="0" w:color="D2DDEB"/>
          <w:bottom w:val="single" w:sz="4" w:space="0" w:color="D2DDEB"/>
          <w:right w:val="single" w:sz="4" w:space="0" w:color="D2DDEB"/>
          <w:insideH w:val="single" w:sz="4" w:space="0" w:color="D2DDEB"/>
          <w:insideV w:val="single" w:sz="4" w:space="0" w:color="D2DDEB"/>
        </w:tcBorders>
        <w:shd w:val="clear" w:color="auto" w:fill="F8FAFC"/>
      </w:tcPr>
    </w:tblStylePr>
  </w:style>
  <w:style w:type="character" w:customStyle="1" w:styleId="InlineCode">
    <w:name w:val="Inline Code"/>
    <w:basedOn w:val="DefaultParagraphFont"/>
    <w:uiPriority w:val="10"/>
    <w:qFormat/>
    <w:rPr>
      <w:rFonts w:ascii="Consolas" w:eastAsia="Consolas" w:hAnsi="Consolas" w:cs="Consolas"/>
      <w:noProof/>
      <w:sz w:val="20"/>
      <w:szCs w:val="20"/>
    </w:rPr>
  </w:style>
  <w:style w:type="paragraph" w:customStyle="1" w:styleId="Figure">
    <w:name w:val="Figure"/>
    <w:basedOn w:val="Normal"/>
    <w:next w:val="FigureCaption"/>
    <w:uiPriority w:val="35"/>
    <w:qFormat/>
    <w:pPr>
      <w:keepNext/>
      <w:spacing w:before="160" w:after="60" w:line="240" w:lineRule="auto"/>
      <w:jc w:val="center"/>
    </w:pPr>
  </w:style>
  <w:style w:type="paragraph" w:customStyle="1" w:styleId="FigureCaption">
    <w:name w:val="Figure Caption"/>
    <w:basedOn w:val="Caption"/>
    <w:next w:val="Normal"/>
    <w:uiPriority w:val="35"/>
    <w:qFormat/>
    <w:pPr>
      <w:keepNext w:val="0"/>
      <w:spacing w:before="0" w:after="200"/>
      <w:jc w:val="center"/>
    </w:pPr>
    <w:rPr>
      <w:b w:val="0"/>
      <w:bCs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0" Type="http://schemas.openxmlformats.org/officeDocument/2006/relationships/webSettings" Target="webSettings.xml"/><Relationship Id="rId6"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ceur-ws.org/Vol-3191/paper09.pdf" TargetMode="External"/><Relationship Id="rId17" Type="http://schemas.openxmlformats.org/officeDocument/2006/relationships/hyperlink" Target="https://www.sciencedirect.com/science/article/pii/S1386505623002253" TargetMode="External"/><Relationship Id="rId18" Type="http://schemas.openxmlformats.org/officeDocument/2006/relationships/hyperlink" Target="https://annual.uni-sofia.bg/index.php/fmi/article/view/987" TargetMode="External"/><Relationship Id="rId19" Type="http://schemas.openxmlformats.org/officeDocument/2006/relationships/hyperlink" Target="https://annual.uni-sofia.bg/index.php/fmi/article/view/575" TargetMode="External"/><Relationship Id="rId20" Type="http://schemas.openxmlformats.org/officeDocument/2006/relationships/image" Target="media/image7.png"/><Relationship Id="rId21" Type="http://schemas.openxmlformats.org/officeDocument/2006/relationships/hyperlink" Target="https://github.com/SimeonAbanos/archetypes-phd" TargetMode="External"/><Relationship Id="rId22" Type="http://schemas.openxmlformats.org/officeDocument/2006/relationships/hyperlink" Target="https://github.com/euggit/EN13606-arche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8</Pages>
  <Words>3308</Words>
  <Characters>19376</Characters>
  <Application>Microsoft Office Word</Application>
  <DocSecurity>0</DocSecurity>
  <Lines>341</Lines>
  <Paragraphs>118</Paragraphs>
  <ScaleCrop>false</ScaleCrop>
  <Company/>
  <LinksUpToDate>false</LinksUpToDate>
  <CharactersWithSpaces>22599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Архетипи, инстанции и проверка на валидността</dc:title>
  <dc:subject/>
  <dc:creator>Simeon Abanos</dc:creator>
  <cp:keywords/>
  <dc:description/>
  <cp:lastModifiedBy>Simeon Abanos</cp:lastModifiedBy>
  <cp:revision>76</cp:revision>
  <dcterms:created xsi:type="dcterms:W3CDTF">2026-09-27T14:52:00Z</dcterms:created>
  <dcterms:modified xsi:type="dcterms:W3CDTF">2026-10-19T00:02:01Z</dcterms:modified>
</cp:coreProperties>
</file>