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921" w:type="dxa"/>
        <w:jc w:val="center"/>
        <w:tblLayout w:type="fixed"/>
        <w:tblLook w:val="04A0" w:firstRow="1" w:lastRow="0" w:firstColumn="1" w:lastColumn="0" w:noHBand="0" w:noVBand="1"/>
      </w:tblPr>
      <w:tblGrid>
        <w:gridCol w:w="3200"/>
        <w:gridCol w:w="729"/>
        <w:gridCol w:w="3087"/>
        <w:gridCol w:w="2806"/>
        <w:gridCol w:w="99"/>
      </w:tblGrid>
      <w:tr w:rsidR="00E215B3" w:rsidRPr="00311F97" w14:paraId="775FBF1B" w14:textId="77777777">
        <w:trPr>
          <w:jc w:val="center"/>
        </w:trPr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1BF92949" w14:textId="77777777" w:rsidR="00E215B3" w:rsidRPr="00311F97" w:rsidRDefault="002A7FCC">
            <w:pPr>
              <w:rPr>
                <w:lang w:val="pt-BR"/>
              </w:rPr>
            </w:pPr>
            <w:r>
              <w:rPr>
                <w:noProof/>
                <w:lang w:val="pt-BR"/>
              </w:rPr>
              <w:drawing>
                <wp:inline distT="0" distB="0" distL="0" distR="0" wp14:anchorId="3CF5150A" wp14:editId="2135003E">
                  <wp:extent cx="1890000" cy="324251"/>
                  <wp:effectExtent l="0" t="0" r="0" b="0"/>
                  <wp:docPr id="1" name="UNIMATE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mater-horizontal-pret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324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40B192F6" w14:textId="4B3BEC65" w:rsidR="00E215B3" w:rsidRPr="00311F97" w:rsidRDefault="002A7FCC">
            <w:pPr>
              <w:spacing w:after="0" w:line="240" w:lineRule="auto"/>
              <w:jc w:val="right"/>
              <w:rPr>
                <w:lang w:val="pt-BR"/>
              </w:rPr>
            </w:pPr>
            <w:r>
              <w:rPr>
                <w:rFonts w:eastAsia="Arial"/>
                <w:b/>
                <w:sz w:val="28"/>
                <w:lang w:val="pt-BR"/>
              </w:rPr>
              <w:t>TRABALHO · 2º BIMESTRE</w:t>
            </w:r>
            <w:r>
              <w:rPr>
                <w:lang w:val="pt-BR"/>
              </w:rPr>
              <w:br/>
            </w:r>
            <w:r>
              <w:rPr>
                <w:rFonts w:eastAsia="Arial"/>
                <w:b/>
                <w:sz w:val="24"/>
                <w:lang w:val="pt-BR"/>
              </w:rPr>
              <w:t>Qualidade e Teste de Software</w:t>
            </w:r>
            <w:r>
              <w:rPr>
                <w:lang w:val="pt-BR"/>
              </w:rPr>
              <w:br/>
            </w:r>
          </w:p>
        </w:tc>
      </w:tr>
    </w:tbl>
    <w:p>
      <w:pPr>
        <w:pStyle w:val="Ttulo"/>
        <w:pBdr>
          <w:bottom w:val="nil"/>
        </w:pBdr>
        <w:spacing w:before="100" w:after="120" w:line="240" w:lineRule="auto"/>
        <w:keepNext/>
        <w:keepLines/>
      </w:pPr>
      <w:r>
        <w:rPr>
          <w:rFonts w:ascii="Arial" w:hAnsi="Arial" w:eastAsia="Arial"/>
          <w:sz w:val="30"/>
          <w:szCs w:val="30"/>
          <w:color w:val="000000"/>
          <w:lang w:val="pt-BR"/>
          <w:b/>
        </w:rPr>
        <w:t xml:space="preserve">Trabalho aplicado do segundo bimestre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O que o grupo vai fazer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Vamos usar o que estudamos para analisar e testar uma função de um sistema que vocês já desenvolvem em outra disciplina, no TCC ou em um projeto próprio. Escolham uma parte pequena: numa loja, por exemplo, podemos estudar só o cálculo do frete. Não é preciso criar um sistema inteiro para QTS.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O trabalho tem duas partes obrigatórias:</w:t>
      </w:r>
    </w:p>
    <w:p>
      <w:pPr>
        <w:pStyle w:val="PargrafodaLista"/>
        <w:numPr>
          <w:ilvl w:val="0"/>
          <w:numId w:val="1"/>
        </w:numPr>
        <w:ind w:left="240" w:hanging="180"/>
        <w:spacing w:after="6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Qualidade: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escolham uma ideia estudada nas aulas e apliquem com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pelo menos uma ferramenta de software ou automação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. Expliquem o que vão analisar, preparem a ferramenta e guardem o resultado.</w:t>
      </w:r>
    </w:p>
    <w:p>
      <w:pPr>
        <w:pStyle w:val="PargrafodaLista"/>
        <w:numPr>
          <w:ilvl w:val="0"/>
          <w:numId w:val="1"/>
        </w:numPr>
        <w:ind w:left="240" w:hanging="180"/>
        <w:spacing w:after="6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Testes: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apliquem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pelo menos dois conceitos ou técnicas de teste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, usando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duas ferramentas de teste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. Pelo menos uma deve executar o programa ou uma parte dele e conferir automaticamente se o resultado corresponde ao esperado. Isso é um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teste dinâmico automatizado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Abrir a ferramenta não basta. É preciso prepará-la para o sistema escolhido, usá-la e explicar o que o resultado mostrou. Escolham entre as opções das páginas seguintes conforme a linguagem e o objetivo do sistema.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Datas do trabalho</w:t>
      </w:r>
    </w:p>
    <w:tbl>
      <w:tblPr>
        <w:tblW w:w="9922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1700"/>
        <w:gridCol w:w="8222"/>
      </w:tblGrid>
      <w:tr>
        <w:trPr>
          <w:cantSplit/>
          <w:tblHeader/>
        </w:trPr>
        <w:tc>
          <w:tcPr>
            <w:tcW w:w="1700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Dia</w:t>
            </w:r>
          </w:p>
        </w:tc>
        <w:tc>
          <w:tcPr>
            <w:tcW w:w="8222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O que faremos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05/10</w:t>
            </w:r>
          </w:p>
        </w:tc>
        <w:tc>
          <w:tcPr>
            <w:tcW w:w="822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Conhecer as orientações e as opções do trabalho. Depois da aula, preencher a proposta e enviá-la pela plataforma até 19/10.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19/10</w:t>
            </w:r>
          </w:p>
        </w:tc>
        <w:tc>
          <w:tcPr>
            <w:tcW w:w="822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Conhecer as ferramentas de teste e confirmar ou ajustar a proposta já enviada.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26/10 e 09/11</w:t>
            </w:r>
          </w:p>
        </w:tc>
        <w:tc>
          <w:tcPr>
            <w:tcW w:w="822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Desenvolver em sala: preparar ferramentas, executar e organizar os resultados.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16/11</w:t>
            </w:r>
          </w:p>
        </w:tc>
        <w:tc>
          <w:tcPr>
            <w:tcW w:w="822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Apresentar o trabalho e fazer uma breve demonstração.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23/11</w:t>
            </w:r>
          </w:p>
        </w:tc>
        <w:tc>
          <w:tcPr>
            <w:tcW w:w="822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Revisão e atividade para a prova.</w:t>
            </w:r>
          </w:p>
        </w:tc>
      </w:tr>
      <w:tr>
        <w:trPr>
          <w:cantSplit/>
        </w:trPr>
        <w:tc>
          <w:tcPr>
            <w:tcW w:w="17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30/11</w:t>
            </w:r>
          </w:p>
        </w:tc>
        <w:tc>
          <w:tcPr>
            <w:tcW w:w="822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Avaliação A2.</w:t>
            </w:r>
          </w:p>
        </w:tc>
      </w:tr>
    </w:tbl>
    <w:p>
      <w:pPr>
        <w:spacing w:after="30" w:line="20" w:lineRule="exact"/>
      </w:pP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O que vocês precisam mostrar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Guardem a ficha preenchida, as configurações e os testes. Anotem os passos para repetir a execução. Salvem saídas, relatórios ou capturas que mostrem o que aconteceu; esses registros são as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evidências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. Identifiquem a versão do sistema e as condições usadas.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Não é obrigatório encontrar ou criar um defeito.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Testes que passam são válidos. Expliquem o esperado, o resultado e o que não foi verificado. Se houver falha, investiguem a causa. Depois de um ajuste, executem novamente e registrem o resultado.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Nota do bimestre: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70% para a A2 e 30% para o trabalho.</w:t>
      </w:r>
    </w:p>
    <w:p>
      <w:pPr>
        <w:spacing w:after="0" w:line="20" w:lineRule="exact"/>
      </w:pPr>
      <w:r>
        <w:br w:type="page"/>
      </w:r>
    </w:p>
    <w:tbl>
      <w:tblPr>
        <w:tblW w:w="9921" w:type="dxa"/>
        <w:jc w:val="center"/>
        <w:tblLayout w:type="fixed"/>
        <w:tblLook w:val="04A0" w:firstRow="1" w:lastRow="0" w:firstColumn="1" w:lastColumn="0" w:noHBand="0" w:noVBand="1"/>
      </w:tblPr>
      <w:tblGrid>
        <w:gridCol w:w="3200"/>
        <w:gridCol w:w="729"/>
        <w:gridCol w:w="3087"/>
        <w:gridCol w:w="2806"/>
        <w:gridCol w:w="99"/>
      </w:tblGrid>
      <w:tr w:rsidR="00E215B3" w:rsidRPr="00311F97" w14:paraId="775FBF1B" w14:textId="77777777">
        <w:trPr>
          <w:jc w:val="center"/>
        </w:trPr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1BF92949" w14:textId="77777777" w:rsidR="00E215B3" w:rsidRPr="00311F97" w:rsidRDefault="002A7FCC">
            <w:pPr>
              <w:rPr>
                <w:lang w:val="pt-BR"/>
              </w:rPr>
            </w:pPr>
            <w:r>
              <w:rPr>
                <w:noProof/>
                <w:lang w:val="pt-BR"/>
              </w:rPr>
              <w:drawing>
                <wp:inline distT="0" distB="0" distL="0" distR="0" wp14:anchorId="3CF5150A" wp14:editId="2135003E">
                  <wp:extent cx="1890000" cy="324251"/>
                  <wp:effectExtent l="0" t="0" r="0" b="0"/>
                  <wp:docPr id="2" name="UNIMATER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mater-horizontal-pret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324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40B192F6" w14:textId="4B3BEC65" w:rsidR="00E215B3" w:rsidRPr="00311F97" w:rsidRDefault="002A7FCC">
            <w:pPr>
              <w:spacing w:after="0" w:line="240" w:lineRule="auto"/>
              <w:jc w:val="right"/>
              <w:rPr>
                <w:lang w:val="pt-BR"/>
              </w:rPr>
            </w:pPr>
            <w:r>
              <w:rPr>
                <w:rFonts w:eastAsia="Arial"/>
                <w:b/>
                <w:sz w:val="28"/>
                <w:lang w:val="pt-BR"/>
              </w:rPr>
              <w:t>TRABALHO · 2º BIMESTRE</w:t>
            </w:r>
            <w:r>
              <w:rPr>
                <w:lang w:val="pt-BR"/>
              </w:rPr>
              <w:br/>
            </w:r>
            <w:r>
              <w:rPr>
                <w:rFonts w:eastAsia="Arial"/>
                <w:b/>
                <w:sz w:val="24"/>
                <w:lang w:val="pt-BR"/>
              </w:rPr>
              <w:t>Qualidade e Teste de Software</w:t>
            </w:r>
            <w:r>
              <w:rPr>
                <w:lang w:val="pt-BR"/>
              </w:rPr>
              <w:br/>
            </w:r>
          </w:p>
        </w:tc>
      </w:tr>
    </w:tbl>
    <w:p>
      <w:pPr>
        <w:pStyle w:val="Ttulo1"/>
        <w:pBdr>
          <w:bottom w:val="nil"/>
        </w:pBdr>
        <w:spacing w:before="100" w:after="120" w:line="240" w:lineRule="auto"/>
        <w:keepNext/>
        <w:keepLines/>
      </w:pPr>
      <w:r>
        <w:rPr>
          <w:rFonts w:ascii="Arial" w:hAnsi="Arial" w:eastAsia="Arial"/>
          <w:sz w:val="30"/>
          <w:szCs w:val="30"/>
          <w:color w:val="000000"/>
          <w:lang w:val="pt-BR"/>
          <w:b/>
        </w:rPr>
        <w:t xml:space="preserve">Qualidade testes e Modelo V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Como as ideias das aulas entram no trabalho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O software precisa atender às necessidades de quem o usa. Avaliar esse atendimento envolve o produto e a forma de desenvolvê-lo: é a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qualidade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. Planejar verificações, analisar documentos ou código e conferir o comportamento são atividades de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teste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. Elas ajudam a avaliar a qualidade do que foi verificado.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No primeiro bimestre vimos aspectos como funcionalidade, confiabilidade, usabilidade, desempenho e segurança. Também vimos a facilidade de entender e modificar o código, ligada à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manutenibilidade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. Escolham o aspecto adequado ao seu objetivo.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Que parte do sistema vamos verificar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No Modelo V, relacionamos o que o software deve fazer ao teste que vai conferir isso. Uma regra pode orientar o teste de uma função e o teste do sistema. A parte que vamos observar define o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nível de teste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. O grupo não precisa usar todos os níveis.</w:t>
      </w:r>
    </w:p>
    <w:tbl>
      <w:tblPr>
        <w:tblW w:w="9922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3300"/>
        <w:gridCol w:w="3650"/>
        <w:gridCol w:w="2972"/>
      </w:tblGrid>
      <w:tr>
        <w:trPr>
          <w:cantSplit/>
          <w:tblHeader/>
        </w:trPr>
        <w:tc>
          <w:tcPr>
            <w:tcW w:w="3300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O que orienta o teste</w:t>
            </w:r>
          </w:p>
        </w:tc>
        <w:tc>
          <w:tcPr>
            <w:tcW w:w="3650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O que verificar</w:t>
            </w:r>
          </w:p>
        </w:tc>
        <w:tc>
          <w:tcPr>
            <w:tcW w:w="2972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Nível</w:t>
            </w:r>
          </w:p>
        </w:tc>
      </w:tr>
      <w:tr>
        <w:trPr>
          <w:cantSplit/>
        </w:trPr>
        <w:tc>
          <w:tcPr>
            <w:tcW w:w="33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Detalhe de uma função ou módulo</w:t>
            </w:r>
          </w:p>
        </w:tc>
        <w:tc>
          <w:tcPr>
            <w:tcW w:w="365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Uma parte isolada</w:t>
            </w:r>
          </w:p>
        </w:tc>
        <w:tc>
          <w:tcPr>
            <w:tcW w:w="297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Componente</w:t>
            </w:r>
          </w:p>
        </w:tc>
      </w:tr>
      <w:tr>
        <w:trPr>
          <w:cantSplit/>
        </w:trPr>
        <w:tc>
          <w:tcPr>
            <w:tcW w:w="33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Como as partes internas se comunicam</w:t>
            </w:r>
          </w:p>
        </w:tc>
        <w:tc>
          <w:tcPr>
            <w:tcW w:w="365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Troca de dados entre componentes</w:t>
            </w:r>
          </w:p>
        </w:tc>
        <w:tc>
          <w:tcPr>
            <w:tcW w:w="297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Integração de componentes</w:t>
            </w:r>
          </w:p>
        </w:tc>
      </w:tr>
      <w:tr>
        <w:trPr>
          <w:cantSplit/>
        </w:trPr>
        <w:tc>
          <w:tcPr>
            <w:tcW w:w="33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Regras do sistema</w:t>
            </w:r>
          </w:p>
        </w:tc>
        <w:tc>
          <w:tcPr>
            <w:tcW w:w="365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Comportamento do sistema</w:t>
            </w:r>
          </w:p>
        </w:tc>
        <w:tc>
          <w:tcPr>
            <w:tcW w:w="297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Sistema</w:t>
            </w:r>
          </w:p>
        </w:tc>
      </w:tr>
      <w:tr>
        <w:trPr>
          <w:cantSplit/>
        </w:trPr>
        <w:tc>
          <w:tcPr>
            <w:tcW w:w="33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Comunicação com outro sistema</w:t>
            </w:r>
          </w:p>
        </w:tc>
        <w:tc>
          <w:tcPr>
            <w:tcW w:w="365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Troca de dados entre sistemas</w:t>
            </w:r>
          </w:p>
        </w:tc>
        <w:tc>
          <w:tcPr>
            <w:tcW w:w="297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Integração de sistemas</w:t>
            </w:r>
          </w:p>
        </w:tc>
      </w:tr>
      <w:tr>
        <w:trPr>
          <w:cantSplit/>
        </w:trPr>
        <w:tc>
          <w:tcPr>
            <w:tcW w:w="33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Necessidade do usuário</w:t>
            </w:r>
          </w:p>
        </w:tc>
        <w:tc>
          <w:tcPr>
            <w:tcW w:w="365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Se o uso atende ao objetivo combinado</w:t>
            </w:r>
          </w:p>
        </w:tc>
        <w:tc>
          <w:tcPr>
            <w:tcW w:w="297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Aceitação</w:t>
            </w:r>
          </w:p>
        </w:tc>
      </w:tr>
    </w:tbl>
    <w:p>
      <w:pPr>
        <w:spacing w:after="30" w:line="20" w:lineRule="exact"/>
      </w:pP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O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aspecto de qualidade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é o que interessa avaliar; a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ferramenta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ajuda a analisar, executar ou registrar. Seu nome não determina o nível do teste. Esse mapa não obriga um ciclo de desenvolvimento.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Opções para a parte de qualidade</w:t>
      </w:r>
    </w:p>
    <w:tbl>
      <w:tblPr>
        <w:tblW w:w="9922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5900"/>
        <w:gridCol w:w="4022"/>
      </w:tblGrid>
      <w:tr>
        <w:trPr>
          <w:cantSplit/>
          <w:tblHeader/>
        </w:trPr>
        <w:tc>
          <w:tcPr>
            <w:tcW w:w="5900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O que aplicar e com qual ferramenta</w:t>
            </w:r>
          </w:p>
        </w:tc>
        <w:tc>
          <w:tcPr>
            <w:tcW w:w="4022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Quando vimos e onde estudar</w:t>
            </w:r>
          </w:p>
        </w:tc>
      </w:tr>
      <w:tr>
        <w:trPr>
          <w:cantSplit/>
        </w:trPr>
        <w:tc>
          <w:tcPr>
            <w:tcW w:w="59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ESLint ou SonarQube:</w:t>
            </w: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procurar problemas no código sem executá-lo, a análise estática. Contar e interpretar os alertas para discutir manutenibilidade e métricas.</w:t>
            </w:r>
          </w:p>
        </w:tc>
        <w:tc>
          <w:tcPr>
            <w:tcW w:w="402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Citados no 1º bimestre; estudo em 05/10. </w:t>
            </w:r>
            <w:hyperlink r:id="rId100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ESLint</w:t>
              </w:r>
            </w:hyperlink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· </w:t>
            </w:r>
            <w:hyperlink r:id="rId101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SonarQube</w:t>
              </w:r>
            </w:hyperlink>
          </w:p>
        </w:tc>
      </w:tr>
      <w:tr>
        <w:trPr>
          <w:cantSplit/>
        </w:trPr>
        <w:tc>
          <w:tcPr>
            <w:tcW w:w="59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GitHub Issues, Jira, Bugzilla ou GitLab:</w:t>
            </w: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ligar regra, teste e resultado, a rastreabilidade. Organizar ocorrências e responsáveis ajuda a gestão de defeitos.</w:t>
            </w:r>
          </w:p>
        </w:tc>
        <w:tc>
          <w:tcPr>
            <w:tcW w:w="402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Citados no 1º bimestre; estudo de Issues e Jira em 05/10. </w:t>
            </w:r>
            <w:hyperlink r:id="rId102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Issues</w:t>
              </w:r>
            </w:hyperlink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· </w:t>
            </w:r>
            <w:hyperlink r:id="rId103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Jira</w:t>
              </w:r>
            </w:hyperlink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· </w:t>
            </w:r>
            <w:hyperlink r:id="rId104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Bugzilla</w:t>
              </w:r>
            </w:hyperlink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· </w:t>
            </w:r>
            <w:hyperlink r:id="rId105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GitLab</w:t>
              </w:r>
            </w:hyperlink>
          </w:p>
        </w:tc>
      </w:tr>
      <w:tr>
        <w:trPr>
          <w:cantSplit/>
        </w:trPr>
        <w:tc>
          <w:tcPr>
            <w:tcW w:w="59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GitHub Actions:</w:t>
            </w: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planejar uma verificação, executá-la, analisar e ajustar, aplicando o PDCA. Automatizar verificações no processo ajuda a garantia da qualidade.</w:t>
            </w:r>
          </w:p>
        </w:tc>
        <w:tc>
          <w:tcPr>
            <w:tcW w:w="402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PDCA visto no 1º bimestre; Actions previsto em 19/10. </w:t>
            </w:r>
            <w:hyperlink r:id="rId106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Actions</w:t>
              </w:r>
            </w:hyperlink>
          </w:p>
        </w:tc>
      </w:tr>
    </w:tbl>
    <w:p>
      <w:pPr>
        <w:spacing w:after="30" w:line="20" w:lineRule="exact"/>
      </w:pP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Ishikawa e fluxogramas podem ajudar na explicação. Sozinhos, não cumprem a parte de software ou automação. Nenhuma dessas análises avalia a qualidade do sistema inteiro.</w:t>
      </w:r>
    </w:p>
    <w:p>
      <w:pPr>
        <w:spacing w:after="0" w:line="20" w:lineRule="exact"/>
      </w:pPr>
      <w:r>
        <w:br w:type="page"/>
      </w:r>
    </w:p>
    <w:tbl>
      <w:tblPr>
        <w:tblW w:w="9921" w:type="dxa"/>
        <w:jc w:val="center"/>
        <w:tblLayout w:type="fixed"/>
        <w:tblLook w:val="04A0" w:firstRow="1" w:lastRow="0" w:firstColumn="1" w:lastColumn="0" w:noHBand="0" w:noVBand="1"/>
      </w:tblPr>
      <w:tblGrid>
        <w:gridCol w:w="3200"/>
        <w:gridCol w:w="729"/>
        <w:gridCol w:w="3087"/>
        <w:gridCol w:w="2806"/>
        <w:gridCol w:w="99"/>
      </w:tblGrid>
      <w:tr w:rsidR="00E215B3" w:rsidRPr="00311F97" w14:paraId="775FBF1B" w14:textId="77777777">
        <w:trPr>
          <w:jc w:val="center"/>
        </w:trPr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1BF92949" w14:textId="77777777" w:rsidR="00E215B3" w:rsidRPr="00311F97" w:rsidRDefault="002A7FCC">
            <w:pPr>
              <w:rPr>
                <w:lang w:val="pt-BR"/>
              </w:rPr>
            </w:pPr>
            <w:r>
              <w:rPr>
                <w:noProof/>
                <w:lang w:val="pt-BR"/>
              </w:rPr>
              <w:drawing>
                <wp:inline distT="0" distB="0" distL="0" distR="0" wp14:anchorId="3CF5150A" wp14:editId="2135003E">
                  <wp:extent cx="1890000" cy="324251"/>
                  <wp:effectExtent l="0" t="0" r="0" b="0"/>
                  <wp:docPr id="3" name="UNIMATER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mater-horizontal-pret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324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40B192F6" w14:textId="4B3BEC65" w:rsidR="00E215B3" w:rsidRPr="00311F97" w:rsidRDefault="002A7FCC">
            <w:pPr>
              <w:spacing w:after="0" w:line="240" w:lineRule="auto"/>
              <w:jc w:val="right"/>
              <w:rPr>
                <w:lang w:val="pt-BR"/>
              </w:rPr>
            </w:pPr>
            <w:r>
              <w:rPr>
                <w:rFonts w:eastAsia="Arial"/>
                <w:b/>
                <w:sz w:val="28"/>
                <w:lang w:val="pt-BR"/>
              </w:rPr>
              <w:t>TRABALHO · 2º BIMESTRE</w:t>
            </w:r>
            <w:r>
              <w:rPr>
                <w:lang w:val="pt-BR"/>
              </w:rPr>
              <w:br/>
            </w:r>
            <w:r>
              <w:rPr>
                <w:rFonts w:eastAsia="Arial"/>
                <w:b/>
                <w:sz w:val="24"/>
                <w:lang w:val="pt-BR"/>
              </w:rPr>
              <w:t>Qualidade e Teste de Software</w:t>
            </w:r>
            <w:r>
              <w:rPr>
                <w:lang w:val="pt-BR"/>
              </w:rPr>
              <w:br/>
            </w:r>
          </w:p>
        </w:tc>
      </w:tr>
    </w:tbl>
    <w:p>
      <w:pPr>
        <w:pStyle w:val="Ttulo1"/>
        <w:pBdr>
          <w:bottom w:val="nil"/>
        </w:pBdr>
        <w:spacing w:before="100" w:after="120" w:line="240" w:lineRule="auto"/>
        <w:keepNext/>
        <w:keepLines/>
      </w:pPr>
      <w:r>
        <w:rPr>
          <w:rFonts w:ascii="Arial" w:hAnsi="Arial" w:eastAsia="Arial"/>
          <w:sz w:val="30"/>
          <w:szCs w:val="30"/>
          <w:color w:val="000000"/>
          <w:lang w:val="pt-BR"/>
          <w:b/>
        </w:rPr>
        <w:t xml:space="preserve">Ferramentas de teste e apresentação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Como escolher as duas ferramentas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Escolham duas ferramentas adequadas à linguagem e às partes do sistema. Pelo menos uma precisa conferir automaticamente; a segunda pode ter comparação manual, com esperado e observado registrados. Informem dados ou passos, o que deveria acontecer e como vão conferir.</w:t>
      </w:r>
    </w:p>
    <w:tbl>
      <w:tblPr>
        <w:tblW w:w="9922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6150"/>
        <w:gridCol w:w="3772"/>
      </w:tblGrid>
      <w:tr>
        <w:trPr>
          <w:cantSplit/>
          <w:tblHeader/>
        </w:trPr>
        <w:tc>
          <w:tcPr>
            <w:tcW w:w="6150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Ferramenta e uso possível</w:t>
            </w:r>
          </w:p>
        </w:tc>
        <w:tc>
          <w:tcPr>
            <w:tcW w:w="3772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O que mostrar e referência</w:t>
            </w:r>
          </w:p>
        </w:tc>
      </w:tr>
      <w:tr>
        <w:trPr>
          <w:cantSplit/>
        </w:trPr>
        <w:tc>
          <w:tcPr>
            <w:tcW w:w="615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Vitest, Jest ou JUnit:</w:t>
            </w: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testar uma função ou módulo. Escolher grupos de dados com comportamento parecido e valores próximos de uma mudança de regra: particionamento de equivalência e valores limite.</w:t>
            </w:r>
          </w:p>
        </w:tc>
        <w:tc>
          <w:tcPr>
            <w:tcW w:w="377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Teste e resultado da execução. </w:t>
            </w:r>
            <w:hyperlink r:id="rId107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Vitest</w:t>
              </w:r>
            </w:hyperlink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· </w:t>
            </w:r>
            <w:hyperlink r:id="rId108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Jest</w:t>
              </w:r>
            </w:hyperlink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· </w:t>
            </w:r>
            <w:hyperlink r:id="rId109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JUnit</w:t>
              </w:r>
            </w:hyperlink>
          </w:p>
        </w:tc>
      </w:tr>
      <w:tr>
        <w:trPr>
          <w:cantSplit/>
        </w:trPr>
        <w:tc>
          <w:tcPr>
            <w:tcW w:w="615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Postman:</w:t>
            </w: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enviar dados para uma interface usada por programas, chamada API. Conferir a resposta e a regra, manualmente ou com comparações automáticas. O nível depende das partes realmente envolvidas.</w:t>
            </w:r>
          </w:p>
        </w:tc>
        <w:tc>
          <w:tcPr>
            <w:tcW w:w="377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Requisição ou coleção, esperado, observado e resultado. Enviar sem conferir não basta. </w:t>
            </w:r>
            <w:hyperlink r:id="rId110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Postman</w:t>
              </w:r>
            </w:hyperlink>
          </w:p>
        </w:tc>
      </w:tr>
      <w:tr>
        <w:trPr>
          <w:cantSplit/>
        </w:trPr>
        <w:tc>
          <w:tcPr>
            <w:tcW w:w="615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Playwright:</w:t>
            </w: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abrir o navegador, seguir passos e conferir o resultado na tela. Repetir após uma alteração ajuda a verificar se algo que funcionava continua funcionando: regressão.</w:t>
            </w:r>
          </w:p>
        </w:tc>
        <w:tc>
          <w:tcPr>
            <w:tcW w:w="377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Teste, relatório e registro dos passos, quando disponível. </w:t>
            </w:r>
            <w:hyperlink r:id="rId111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Playwright</w:t>
              </w:r>
            </w:hyperlink>
          </w:p>
        </w:tc>
      </w:tr>
      <w:tr>
        <w:trPr>
          <w:cantSplit/>
        </w:trPr>
        <w:tc>
          <w:tcPr>
            <w:tcW w:w="615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k6:</w:t>
            </w: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 simular acessos e medir respostas, avaliando desempenho e carga. Definir quantidade de acessos, duração e um resultado aceitável.</w:t>
            </w:r>
          </w:p>
        </w:tc>
        <w:tc>
          <w:tcPr>
            <w:tcW w:w="3772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Teste, medidas e comparação com o critério escolhido. </w:t>
            </w:r>
            <w:hyperlink r:id="rId112">
              <w:r>
                <w:rPr>
                  <w:rFonts w:ascii="Arial" w:hAnsi="Arial" w:eastAsia="Arial"/>
                  <w:sz w:val="22"/>
                  <w:szCs w:val="22"/>
                  <w:color w:val="0563C1"/>
                  <w:lang w:val="pt-BR"/>
                  <w:u w:val="single"/>
                </w:rPr>
                <w:t xml:space="preserve">k6</w:t>
              </w:r>
            </w:hyperlink>
          </w:p>
        </w:tc>
      </w:tr>
    </w:tbl>
    <w:p>
      <w:pPr>
        <w:spacing w:after="30" w:line="20" w:lineRule="exact"/>
      </w:pP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Já citados no primeiro bimestre: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Vitest, Jest e JUnit.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Estudo previsto para 19/10: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Vitest, Postman, Playwright e k6. Jest e JUnit continuam como alternativas. A proposta pode incluir ferramentas previstas para 19/10.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Combinações possíveis: Vitest + Playwright; JUnit + Postman; Postman + k6. Escolham conforme o objetivo do grupo. GitHub Actions pode executar testes após uma mudança, mas sozinho não conta como ferramenta de teste. ESLint e SonarQube atendem à parte de qualidade, mas não substituem o teste dinâmico automatizado exigido.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O que apresentar em 16 de novembro</w:t>
      </w:r>
    </w:p>
    <w:p>
      <w:pPr>
        <w:pStyle w:val="PargrafodaLista"/>
        <w:numPr>
          <w:ilvl w:val="0"/>
          <w:numId w:val="1"/>
        </w:numPr>
        <w:ind w:left="240" w:hanging="180"/>
        <w:spacing w:after="6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Expliquem o sistema, a parte escolhida e a regra estudada.</w:t>
      </w:r>
    </w:p>
    <w:p>
      <w:pPr>
        <w:pStyle w:val="PargrafodaLista"/>
        <w:numPr>
          <w:ilvl w:val="0"/>
          <w:numId w:val="1"/>
        </w:numPr>
        <w:ind w:left="240" w:hanging="180"/>
        <w:spacing w:after="6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Mostrem como prepararam as ferramentas e onde aplicaram a ideia de qualidade e os dois conceitos ou técnicas de teste.</w:t>
      </w:r>
    </w:p>
    <w:p>
      <w:pPr>
        <w:pStyle w:val="PargrafodaLista"/>
        <w:numPr>
          <w:ilvl w:val="0"/>
          <w:numId w:val="1"/>
        </w:numPr>
        <w:ind w:left="240" w:hanging="180"/>
        <w:spacing w:after="6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Demonstrem as duas ferramentas de teste, incluindo pelo menos uma execução dinâmica automatizada.</w:t>
      </w:r>
    </w:p>
    <w:p>
      <w:pPr>
        <w:pStyle w:val="PargrafodaLista"/>
        <w:numPr>
          <w:ilvl w:val="0"/>
          <w:numId w:val="1"/>
        </w:numPr>
        <w:ind w:left="240" w:hanging="180"/>
        <w:spacing w:after="6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Comparem o esperado com o que aconteceu. Mostrem os registros e expliquem o que ficou fora da análise. Se houve ajuste após falha, mostrem a nova execução.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Cada integrante deve explicar sua contribuição e os conceitos usados. Serão considerados a correção dos conceitos, sua aplicação, os registros, a clareza, a participação e o domínio individual. Outra pessoa deve conseguir repetir o que vocês fizeram.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Referência dos conceitos: </w:t>
      </w:r>
      <w:hyperlink r:id="rId113">
        <w:r>
          <w:rPr>
            <w:rFonts w:ascii="Arial" w:hAnsi="Arial" w:eastAsia="Arial"/>
            <w:sz w:val="22"/>
            <w:szCs w:val="22"/>
            <w:color w:val="0563C1"/>
            <w:lang w:val="pt-BR"/>
            <w:u w:val="single"/>
          </w:rPr>
          <w:t xml:space="preserve">ISTQB CTFL v4.0.1</w:t>
        </w:r>
      </w:hyperlink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. Os links das ferramentas ajudam a estudar e preparar o uso.</w:t>
      </w:r>
    </w:p>
    <w:p>
      <w:pPr>
        <w:spacing w:after="0" w:line="20" w:lineRule="exact"/>
      </w:pPr>
      <w:r>
        <w:br w:type="page"/>
      </w:r>
    </w:p>
    <w:tbl>
      <w:tblPr>
        <w:tblW w:w="9921" w:type="dxa"/>
        <w:jc w:val="center"/>
        <w:tblLayout w:type="fixed"/>
        <w:tblLook w:val="04A0" w:firstRow="1" w:lastRow="0" w:firstColumn="1" w:lastColumn="0" w:noHBand="0" w:noVBand="1"/>
      </w:tblPr>
      <w:tblGrid>
        <w:gridCol w:w="3200"/>
        <w:gridCol w:w="729"/>
        <w:gridCol w:w="3087"/>
        <w:gridCol w:w="2806"/>
        <w:gridCol w:w="99"/>
      </w:tblGrid>
      <w:tr w:rsidR="00E215B3" w:rsidRPr="00311F97" w14:paraId="775FBF1B" w14:textId="77777777">
        <w:trPr>
          <w:jc w:val="center"/>
        </w:trPr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1BF92949" w14:textId="77777777" w:rsidR="00E215B3" w:rsidRPr="00311F97" w:rsidRDefault="002A7FCC">
            <w:pPr>
              <w:rPr>
                <w:lang w:val="pt-BR"/>
              </w:rPr>
            </w:pPr>
            <w:r>
              <w:rPr>
                <w:noProof/>
                <w:lang w:val="pt-BR"/>
              </w:rPr>
              <w:drawing>
                <wp:inline distT="0" distB="0" distL="0" distR="0" wp14:anchorId="3CF5150A" wp14:editId="2135003E">
                  <wp:extent cx="1890000" cy="324251"/>
                  <wp:effectExtent l="0" t="0" r="0" b="0"/>
                  <wp:docPr id="4" name="UNIMATER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mater-horizontal-pret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324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40B192F6" w14:textId="4B3BEC65" w:rsidR="00E215B3" w:rsidRPr="00311F97" w:rsidRDefault="002A7FCC">
            <w:pPr>
              <w:spacing w:after="0" w:line="240" w:lineRule="auto"/>
              <w:jc w:val="right"/>
              <w:rPr>
                <w:lang w:val="pt-BR"/>
              </w:rPr>
            </w:pPr>
            <w:r>
              <w:rPr>
                <w:rFonts w:eastAsia="Arial"/>
                <w:b/>
                <w:sz w:val="28"/>
                <w:lang w:val="pt-BR"/>
              </w:rPr>
              <w:t>TRABALHO · 2º BIMESTRE</w:t>
            </w:r>
            <w:r>
              <w:rPr>
                <w:lang w:val="pt-BR"/>
              </w:rPr>
              <w:br/>
            </w:r>
            <w:r>
              <w:rPr>
                <w:rFonts w:eastAsia="Arial"/>
                <w:b/>
                <w:sz w:val="24"/>
                <w:lang w:val="pt-BR"/>
              </w:rPr>
              <w:t>Qualidade e Teste de Software</w:t>
            </w:r>
            <w:r>
              <w:rPr>
                <w:lang w:val="pt-BR"/>
              </w:rPr>
              <w:br/>
            </w:r>
          </w:p>
        </w:tc>
      </w:tr>
    </w:tbl>
    <w:p>
      <w:pPr>
        <w:pStyle w:val="Ttulo1"/>
        <w:pBdr>
          <w:bottom w:val="nil"/>
        </w:pBdr>
        <w:spacing w:before="100" w:after="120" w:line="240" w:lineRule="auto"/>
        <w:keepNext/>
        <w:keepLines/>
      </w:pPr>
      <w:r>
        <w:rPr>
          <w:rFonts w:ascii="Arial" w:hAnsi="Arial" w:eastAsia="Arial"/>
          <w:sz w:val="30"/>
          <w:szCs w:val="30"/>
          <w:color w:val="000000"/>
          <w:lang w:val="pt-BR"/>
          <w:b/>
        </w:rPr>
        <w:t xml:space="preserve">Ficha do grupo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Proposta para entregar até 19 de outubro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Preencham a proposta depois da aula de 05/10 e enviem pela plataforma até 19/10. Na aula de 19/10, confirmaremos ou ajustaremos as escolhas. As respostas podem ser curtas; ampliem os espaços no arquivo editável se precisarem.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Quem participa e qual é a turma?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Gabriel Simionato, Thiago Lanzarin, Henrique Granel, Jhonatan Negri e Rooch Vertus. Sistemas de Informação, Unimater.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Qual sistema e de onde ele vem?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Camada intermediária de proteção para chatbot com LLM, do TCC de Gabriel Simionato (Sistemas de Informação). Repositório público no GitHub, versão da7c66a.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O que ele faz?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Fica entre o usuário e o modelo de linguagem e intercepta entrada, contexto e saída para encaminhar, bloquear ou mascarar o texto. A guarda de orçamento barra chamadas à API do modelo antes de haver gasto.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Qual parte e qual regra?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Guarda de orçamento da API (executor/orcamento.py). A chamada é recusada antes de acontecer se o consumo acumulado mais o custo estimado da próxima (US$ 0,0025) passar do teto de US$ 16,00, ou se o número de chamadas já chegou ao teto de 4.500. Tetos informados na configuração substituem os padrões.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Quais partes e níveis do Modelo V?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Guarda de orçamento: componente. Endpoint /entrada da camada em execução (uvicorn, sem Docker): sistema (somente a camada, sem modelo e sem n8n).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Qualidade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O que queremos analisar?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Se cada mudança no repositório é verificada antes de ser aceita: PDCA aplicado à garantia da qualidade. Hoje os testes só rodam quando alguém executa manualmente.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Qual ferramenta e o que preparar?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GitHub Actions: criar um fluxo que instala as dependências e roda o pytest a cada push e pull request, guardando o relatório como anexo da execução.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Como vamos avaliar e o que guardar?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Planejar o que o fluxo verifica, executar com um push, analisar relatório e falhas, ajustar e executar de novo. Guardar o arquivo do fluxo, os links das execuções e os relatórios da versão analisada.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Completem a próxima resposta depois de usar a ferramenta.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Depois o que encontramos e o que ficou fora?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Execução 1 do fluxo (commit 75c5da6, ubuntu-24.04): vermelha. Os 226 testes do TCC passaram e 2 dos 13 testes do QTS falharam: teto informado como 0 era ignorado, porque teto or padrão trata 0 como não informado. Ajuste mínimo em executor/orcamento.py, só na cópia do trabalho. Execução 2 (commit 2a54e8b, mesmo sistema): verde, 226 e 13 testes passaram, então a correção não quebrou o que já funcionava. Guardamos o fluxo, os links das duas execuções, os relatórios (artefatos) e prints. Fora: os 4 testes marcados lento (modelo de embeddings), serviços no Docker, análise estática do código e a qualidade do sistema inteiro. O fluxo roda no repositório do trabalho, não no do TCC.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Testes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Preencham as escolhas agora. As duas últimas linhas ficam para depois de executar.</w:t>
      </w:r>
    </w:p>
    <w:tbl>
      <w:tblPr>
        <w:tblW w:w="9922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3100"/>
        <w:gridCol w:w="3411"/>
        <w:gridCol w:w="3411"/>
      </w:tblGrid>
      <w:tr>
        <w:trPr>
          <w:cantSplit/>
          <w:tblHeader/>
        </w:trPr>
        <w:tc>
          <w:tcPr>
            <w:tcW w:w="3100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Pergunta</w:t>
            </w:r>
          </w:p>
        </w:tc>
        <w:tc>
          <w:tcPr>
            <w:tcW w:w="3411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Teste 1</w:t>
            </w:r>
          </w:p>
        </w:tc>
        <w:tc>
          <w:tcPr>
            <w:tcW w:w="3411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Teste 2</w:t>
            </w:r>
          </w:p>
        </w:tc>
      </w:tr>
      <w:tr>
        <w:trPr>
          <w:cantSplit/>
        </w:trPr>
        <w:tc>
          <w:tcPr>
            <w:tcW w:w="31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Que ideia da aula e qual parte?</w:t>
            </w:r>
          </w:p>
        </w:tc>
        <w:tc>
          <w:tcPr>
            <w:tcW w:w="341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Valores limite e particionamento de equivalência na guarda de orçamento. Nível: componente.</w:t>
            </w:r>
          </w:p>
        </w:tc>
        <w:tc>
          <w:tcPr>
            <w:tcW w:w="341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Teste funcional do endpoint /entrada, reaproveitado depois como teste de regressão. Nível: sistema.</w:t>
            </w:r>
          </w:p>
        </w:tc>
      </w:tr>
      <w:tr>
        <w:trPr>
          <w:cantSplit/>
        </w:trPr>
        <w:tc>
          <w:tcPr>
            <w:tcW w:w="31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Qual ferramenta e preparação?</w:t>
            </w:r>
          </w:p>
        </w:tc>
        <w:tc>
          <w:tcPr>
            <w:tcW w:w="341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pytest; criar casos parametrizados que montam a guarda com consumo conhecido e conferem se a chamada é aceita ou recusada.</w:t>
            </w:r>
          </w:p>
        </w:tc>
        <w:tc>
          <w:tcPr>
            <w:tcW w:w="341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Postman; subir a camada com uvicorn (sem Docker) e montar uma coleção com requisições e comparações automáticas na resposta.</w:t>
            </w:r>
          </w:p>
        </w:tc>
      </w:tr>
      <w:tr>
        <w:trPr>
          <w:cantSplit/>
        </w:trPr>
        <w:tc>
          <w:tcPr>
            <w:tcW w:w="31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Quais dados ou passos?</w:t>
            </w:r>
          </w:p>
        </w:tc>
        <w:tc>
          <w:tcPr>
            <w:tcW w:w="341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Teto de US$ 16,00 com consumo de US$ 15,9975 e US$ 15,9976. Teto de 4.500 com 4.499 e 4.500 chamadas feitas. Tetos informados como 0.</w:t>
            </w:r>
          </w:p>
        </w:tc>
        <w:tc>
          <w:tcPr>
            <w:tcW w:w="341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POST /entrada com mensagem comum, com mensagem contendo CPF e com campo ponto inválido.</w:t>
            </w:r>
          </w:p>
        </w:tc>
      </w:tr>
      <w:tr>
        <w:trPr>
          <w:cantSplit/>
        </w:trPr>
        <w:tc>
          <w:tcPr>
            <w:tcW w:w="31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O que deve acontecer?</w:t>
            </w:r>
          </w:p>
        </w:tc>
        <w:tc>
          <w:tcPr>
            <w:tcW w:w="341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US$ 15,9975: aceita. US$ 15,9976: recusa. 4.499: aceita. 4.500: recusa. Teto 0: toda chamada recusada.</w:t>
            </w:r>
          </w:p>
        </w:tc>
        <w:tc>
          <w:tcPr>
            <w:tcW w:w="341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Mensagens: status 200, decisão encaminhar, texto idêntico ao enviado e versão das regras presente. Ponto inválido: status 422.</w:t>
            </w:r>
          </w:p>
        </w:tc>
      </w:tr>
      <w:tr>
        <w:trPr>
          <w:cantSplit/>
        </w:trPr>
        <w:tc>
          <w:tcPr>
            <w:tcW w:w="31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Depois o que aconteceu e o que guardar?</w:t>
            </w:r>
          </w:p>
        </w:tc>
        <w:tc>
          <w:tcPr>
            <w:tcW w:w="341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1ª execução (29/10, Python 3.10.12, pytest 8.3.4): 11 de 13 casos passaram. US$ 15,9975 aceitou, US$ 15,9976 recusou, 4.499 aceitou e 4.500 recusou, como esperado. Teto 0, testado separado para dólares e para chamadas: as duas chamadas foram aceitas, falha. Causa: teto or padrão trata 0 como não informado e usa US$ 16,00 e 4.500. Após a correção, 2ª execução: 13 de 13. Guardar: qts/testes, saídas em texto e JUnit XML das duas execuções em qts/evidencias/2026-10-29.</w:t>
            </w:r>
          </w:p>
        </w:tc>
        <w:tc>
          <w:tcPr>
            <w:tcW w:w="341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Execução com Newman 6.2.3 (linha de comando do Postman), camada rodando só com uvicorn na porta 8010, sem Docker: 3 requisições, 10 conferências automáticas, 0 falhas. Mensagem comum e mensagem com CPF: status 200, decisão encaminhar, texto idêntico e versao_regras 0.0.0-encaminhamento. Ponto inválido: status 422, apontando o campo ponto. Guardar: coleção em qts/postman, relatórios em texto, JSON e JUnit e log da camada em qts/evidencias/2026-10-29/postman.</w:t>
            </w:r>
          </w:p>
        </w:tc>
      </w:tr>
      <w:tr>
        <w:trPr>
          <w:cantSplit/>
        </w:trPr>
        <w:tc>
          <w:tcPr>
            <w:tcW w:w="31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Depois o que concluímos e o que ficou fora?</w:t>
            </w:r>
          </w:p>
        </w:tc>
        <w:tc>
          <w:tcPr>
            <w:tcW w:w="341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Os limites de US$ 16,00 e de 4.500 chamadas funcionam como a regra. O teto 0 tinha defeito, corrigido só na cópia; levar ao TCC é decisão separada. A aprovação vale para os valores testados e o custo estimado padrão de US$ 0,0025. Fora: outros valores, tetos negativos, o mesmo padrão or nos preços e no custo estimado (registrado, não corrigido) e chamadas reais à API.</w:t>
            </w:r>
          </w:p>
        </w:tc>
        <w:tc>
          <w:tcPr>
            <w:tcW w:w="341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O /entrada cumpre o contrato na versão da7c66a. O CPF passa sem máscara porque a camada ainda não tem regras, o esperado nesta versão; a coleção serve de regressão quando as regras existirem. O log da camada guarda só tamanho e resumo do texto, sem o CPF. Fora: regras de detecção (ainda não existem), /contexto e /saida, recuperador, modelo, n8n, Docker e desempenho.</w:t>
            </w:r>
          </w:p>
        </w:tc>
      </w:tr>
    </w:tbl>
    <w:p>
      <w:pPr>
        <w:spacing w:after="30" w:line="20" w:lineRule="exact"/>
      </w:pP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Qual ferramenta vai executar e conferir automaticamente?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As duas: pytest e Postman (scripts de teste da coleção, executados pelo Newman). O GitHub Actions executa o pytest a cada push.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Organização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Quem faz cada tarefa e qual é o próximo passo?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Gabriel: GitHub Actions e ambiente da camada. Jhonatan: pytest, valores limite. Thiago: pytest, particionamento de equivalência e investigação de falhas. Henrique: Postman. Rooch: Postman, regressão automatizada do /entrada com Newman.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Próximo: preparar as ferramentas em sala em 26/10. Cada integrante explica sua contribuição na apresentação.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O que confirmar ou ajustar em 19 de outubro?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Uso do pytest no lugar de Vitest, Jest ou JUnit, por ser a ferramenta equivalente para Python. Confirmar a regra e as ferramentas.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Como repetir e localizar os arquivos?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Repositório do trabalho github.com/Simionato4/qts-camada-protecao (cópia do TCC no commit da7c66a, branch qts-trabalho-b2), pasta qts/: instruções para subir a camada e rodar os testes, coleção do Postman e resultados por data. Fluxo do Actions em .github/workflows/qts-testes.yml. O repositório do TCC não recebeu nenhum arquivo deste trabalho.</w:t>
      </w:r>
    </w:p>
    <w:p>
      <w:pPr>
        <w:spacing w:after="0" w:line="20" w:lineRule="exact"/>
      </w:pPr>
      <w:r>
        <w:br w:type="page"/>
      </w:r>
    </w:p>
    <w:tbl>
      <w:tblPr>
        <w:tblW w:w="9921" w:type="dxa"/>
        <w:jc w:val="center"/>
        <w:tblLayout w:type="fixed"/>
        <w:tblLook w:val="04A0" w:firstRow="1" w:lastRow="0" w:firstColumn="1" w:lastColumn="0" w:noHBand="0" w:noVBand="1"/>
      </w:tblPr>
      <w:tblGrid>
        <w:gridCol w:w="3200"/>
        <w:gridCol w:w="729"/>
        <w:gridCol w:w="3087"/>
        <w:gridCol w:w="2806"/>
        <w:gridCol w:w="99"/>
      </w:tblGrid>
      <w:tr w:rsidR="00E215B3" w:rsidRPr="00311F97" w14:paraId="775FBF1B" w14:textId="77777777">
        <w:trPr>
          <w:jc w:val="center"/>
        </w:trPr>
        <w:tc>
          <w:tcPr>
            <w:tcW w:w="3231" w:type="dxa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1BF92949" w14:textId="77777777" w:rsidR="00E215B3" w:rsidRPr="00311F97" w:rsidRDefault="002A7FCC">
            <w:pPr>
              <w:rPr>
                <w:lang w:val="pt-BR"/>
              </w:rPr>
            </w:pPr>
            <w:r>
              <w:rPr>
                <w:noProof/>
                <w:lang w:val="pt-BR"/>
              </w:rPr>
              <w:drawing>
                <wp:inline distT="0" distB="0" distL="0" distR="0" wp14:anchorId="3CF5150A" wp14:editId="2135003E">
                  <wp:extent cx="1890000" cy="324251"/>
                  <wp:effectExtent l="0" t="0" r="0" b="0"/>
                  <wp:docPr id="5" name="UNIMATER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unimater-horizontal-preto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0000" cy="3242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89" w:type="dxa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0" w:type="dxa"/>
              <w:left w:w="0" w:type="dxa"/>
              <w:bottom w:w="20" w:type="dxa"/>
              <w:right w:w="0" w:type="dxa"/>
            </w:tcMar>
            <w:vAlign w:val="center"/>
          </w:tcPr>
          <w:p w14:paraId="40B192F6" w14:textId="4B3BEC65" w:rsidR="00E215B3" w:rsidRPr="00311F97" w:rsidRDefault="002A7FCC">
            <w:pPr>
              <w:spacing w:after="0" w:line="240" w:lineRule="auto"/>
              <w:jc w:val="right"/>
              <w:rPr>
                <w:lang w:val="pt-BR"/>
              </w:rPr>
            </w:pPr>
            <w:r>
              <w:rPr>
                <w:rFonts w:eastAsia="Arial"/>
                <w:b/>
                <w:sz w:val="28"/>
                <w:lang w:val="pt-BR"/>
              </w:rPr>
              <w:t>TRABALHO · 2º BIMESTRE</w:t>
            </w:r>
            <w:r>
              <w:rPr>
                <w:lang w:val="pt-BR"/>
              </w:rPr>
              <w:br/>
            </w:r>
            <w:r>
              <w:rPr>
                <w:rFonts w:eastAsia="Arial"/>
                <w:b/>
                <w:sz w:val="24"/>
                <w:lang w:val="pt-BR"/>
              </w:rPr>
              <w:t>Qualidade e Teste de Software</w:t>
            </w:r>
            <w:r>
              <w:rPr>
                <w:lang w:val="pt-BR"/>
              </w:rPr>
              <w:br/>
            </w:r>
          </w:p>
        </w:tc>
      </w:tr>
    </w:tbl>
    <w:p>
      <w:pPr>
        <w:pStyle w:val="Ttulo1"/>
        <w:pBdr>
          <w:bottom w:val="nil"/>
        </w:pBdr>
        <w:spacing w:before="100" w:after="120" w:line="240" w:lineRule="auto"/>
        <w:keepNext/>
        <w:keepLines/>
      </w:pPr>
      <w:r>
        <w:rPr>
          <w:rFonts w:ascii="Arial" w:hAnsi="Arial" w:eastAsia="Arial"/>
          <w:sz w:val="30"/>
          <w:szCs w:val="30"/>
          <w:color w:val="000000"/>
          <w:lang w:val="pt-BR"/>
          <w:b/>
        </w:rPr>
        <w:t xml:space="preserve">Loja virtual e cálculo do frete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Por exemplo: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imagine um grupo que esteja desenvolvendo uma loja virtual em outra disciplina e escolha o frete no carrinho para analisar e testar. Vamos considerar que as verificações seguintes passaram.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Quem participa e qual é a turma?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Grupo Exemplo, ADS/SINF.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Qual sistema e de onde ele vem?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Loja virtual de outra disciplina.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O que ele faz?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Vende produtos pela internet.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Qual parte e qual regra?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Frete no carrinho. Valor dos produtos no carrinho de R$ 200 ou mais: frete grátis; abaixo, R$ 10.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Quais partes e níveis do Modelo V?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Cálculo do frete: componente. Carrinho: sistema.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Qualidade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O que queremos analisar?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A ligação da regra aos testes e resultados: rastreabilidade.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Qual ferramenta e o que preparar?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GitHub Issues: criar um registro da regra, versão e resultados anexados.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Como vamos avaliar e o que guardar?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Registro e anexos da versão Loja 1 devem mostrar o que foi verificado e onde estão os resultados.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Depois o que encontramos e o que ficou fora?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Encontramos a regra e os dois resultados no registro. Só cobre o frete.</w:t>
      </w:r>
    </w:p>
    <w:p>
      <w:pPr>
        <w:pStyle w:val="Ttulo2"/>
        <w:spacing w:before="120" w:after="60" w:line="240" w:lineRule="auto"/>
        <w:keepNext/>
        <w:keepLines/>
      </w:pPr>
      <w:r>
        <w:rPr>
          <w:rFonts w:ascii="Arial" w:hAnsi="Arial" w:eastAsia="Arial"/>
          <w:sz w:val="24"/>
          <w:szCs w:val="24"/>
          <w:color w:val="000000"/>
          <w:lang w:val="pt-BR"/>
          <w:b/>
        </w:rPr>
        <w:t xml:space="preserve">Testes</w:t>
      </w:r>
    </w:p>
    <w:tbl>
      <w:tblPr>
        <w:tblW w:w="9922" w:type="dxa"/>
        <w:tblLayout w:type="fixed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65" w:type="dxa"/>
          <w:bottom w:w="65" w:type="dxa"/>
          <w:left w:w="100" w:type="dxa"/>
          <w:right w:w="100" w:type="dxa"/>
        </w:tblCellMar>
      </w:tblPr>
      <w:tblGrid>
        <w:gridCol w:w="2800"/>
        <w:gridCol w:w="3561"/>
        <w:gridCol w:w="3561"/>
      </w:tblGrid>
      <w:tr>
        <w:trPr>
          <w:cantSplit/>
          <w:tblHeader/>
        </w:trPr>
        <w:tc>
          <w:tcPr>
            <w:tcW w:w="2800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Pergunta</w:t>
            </w:r>
          </w:p>
        </w:tc>
        <w:tc>
          <w:tcPr>
            <w:tcW w:w="3561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Teste 1</w:t>
            </w:r>
          </w:p>
        </w:tc>
        <w:tc>
          <w:tcPr>
            <w:tcW w:w="3561" w:type="dxa"/>
            <w:vAlign w:val="top"/>
            <w:shd w:val="clear" w:color="auto" w:fill="EEEEEE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  <w:b/>
              </w:rPr>
              <w:t xml:space="preserve">Teste 2</w:t>
            </w:r>
          </w:p>
        </w:tc>
      </w:tr>
      <w:tr>
        <w:trPr>
          <w:cantSplit/>
        </w:trPr>
        <w:tc>
          <w:tcPr>
            <w:tcW w:w="28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Que ideia da aula e qual parte?</w:t>
            </w:r>
          </w:p>
        </w:tc>
        <w:tc>
          <w:tcPr>
            <w:tcW w:w="356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Logo antes de R$ 200 e no início do frete grátis: valores limite. Função: componente.</w:t>
            </w:r>
          </w:p>
        </w:tc>
        <w:tc>
          <w:tcPr>
            <w:tcW w:w="356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Conferir o uso do carrinho: teste funcional, nível de sistema.</w:t>
            </w:r>
          </w:p>
        </w:tc>
      </w:tr>
      <w:tr>
        <w:trPr>
          <w:cantSplit/>
        </w:trPr>
        <w:tc>
          <w:tcPr>
            <w:tcW w:w="28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Qual ferramenta e preparação?</w:t>
            </w:r>
          </w:p>
        </w:tc>
        <w:tc>
          <w:tcPr>
            <w:tcW w:w="356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Vitest; preparar o teste para calcular os dois fretes e comparar com o esperado.</w:t>
            </w:r>
          </w:p>
        </w:tc>
        <w:tc>
          <w:tcPr>
            <w:tcW w:w="356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Playwright; iniciar a loja e programar a inclusão do produto e a conferência automática de frete e total.</w:t>
            </w:r>
          </w:p>
        </w:tc>
      </w:tr>
      <w:tr>
        <w:trPr>
          <w:cantSplit/>
        </w:trPr>
        <w:tc>
          <w:tcPr>
            <w:tcW w:w="28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Quais dados ou passos?</w:t>
            </w:r>
          </w:p>
        </w:tc>
        <w:tc>
          <w:tcPr>
            <w:tcW w:w="356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Compras de R$ 199,99 e R$ 200.</w:t>
            </w:r>
          </w:p>
        </w:tc>
        <w:tc>
          <w:tcPr>
            <w:tcW w:w="356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Carrinho vazio; adicionar uma unidade do produto de R$ 200.</w:t>
            </w:r>
          </w:p>
        </w:tc>
      </w:tr>
      <w:tr>
        <w:trPr>
          <w:cantSplit/>
        </w:trPr>
        <w:tc>
          <w:tcPr>
            <w:tcW w:w="28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O que deve acontecer?</w:t>
            </w:r>
          </w:p>
        </w:tc>
        <w:tc>
          <w:tcPr>
            <w:tcW w:w="356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R$ 199,99: frete R$ 10. R$ 200: frete R$ 0.</w:t>
            </w:r>
          </w:p>
        </w:tc>
        <w:tc>
          <w:tcPr>
            <w:tcW w:w="356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Conferir automaticamente frete R$ 0 e total R$ 200.</w:t>
            </w:r>
          </w:p>
        </w:tc>
      </w:tr>
      <w:tr>
        <w:trPr>
          <w:cantSplit/>
        </w:trPr>
        <w:tc>
          <w:tcPr>
            <w:tcW w:w="28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Depois o que aconteceu e o que guardar?</w:t>
            </w:r>
          </w:p>
        </w:tc>
        <w:tc>
          <w:tcPr>
            <w:tcW w:w="356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R$ 199,99 retornou frete R$ 10; R$ 200 retornou R$ 0. Guardar teste e saída.</w:t>
            </w:r>
          </w:p>
        </w:tc>
        <w:tc>
          <w:tcPr>
            <w:tcW w:w="356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Carrinho mostrou frete R$ 0 e total R$ 200. Guardar teste e relatório.</w:t>
            </w:r>
          </w:p>
        </w:tc>
      </w:tr>
      <w:tr>
        <w:trPr>
          <w:cantSplit/>
        </w:trPr>
        <w:tc>
          <w:tcPr>
            <w:tcW w:w="2800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Depois o que concluímos e o que ficou fora?</w:t>
            </w:r>
          </w:p>
        </w:tc>
        <w:tc>
          <w:tcPr>
            <w:tcW w:w="356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A aprovação vale para esses dois valores. Outros valores ficam fora.</w:t>
            </w:r>
          </w:p>
        </w:tc>
        <w:tc>
          <w:tcPr>
            <w:tcW w:w="3561" w:type="dxa"/>
            <w:vAlign w:val="top"/>
          </w:tcPr>
          <w:p>
            <w:pPr>
              <w:spacing w:after="20" w:line="250" w:lineRule="auto"/>
            </w:pPr>
            <w:r>
              <w:rPr>
                <w:rFonts w:ascii="Arial" w:hAnsi="Arial" w:eastAsia="Arial"/>
                <w:sz w:val="22"/>
                <w:szCs w:val="22"/>
                <w:color w:val="000000"/>
                <w:lang w:val="pt-BR"/>
              </w:rPr>
              <w:t xml:space="preserve">A aprovação vale para esse uso do carrinho. Fora: pagamento, estoque e entrega.</w:t>
            </w:r>
          </w:p>
        </w:tc>
      </w:tr>
    </w:tbl>
    <w:p>
      <w:pPr>
        <w:spacing w:after="30" w:line="20" w:lineRule="exact"/>
      </w:pP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Qual ferramenta vai executar e conferir automaticamente?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As duas: Vitest e Playwright.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Quem faz cada tarefa e qual é o próximo passo?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A: Issues; B: Vitest; C: Playwright. Próximo: revisar os registros e preparar a apresentação. Cada um explica sua contribuição.</w:t>
      </w:r>
    </w:p>
    <w:p>
      <w:pPr>
        <w:spacing w:after="80" w:line="260" w:lineRule="auto"/>
        <w:keepLines/>
      </w:pP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O que confirmar ou ajustar em 19 de outubro?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A regra e as ferramentas. </w:t>
      </w:r>
      <w:r>
        <w:rPr>
          <w:rFonts w:ascii="Arial" w:hAnsi="Arial" w:eastAsia="Arial"/>
          <w:sz w:val="22"/>
          <w:szCs w:val="22"/>
          <w:color w:val="000000"/>
          <w:lang w:val="pt-BR"/>
          <w:b/>
        </w:rPr>
        <w:t xml:space="preserve">Como repetir e localizar os arquivos?</w:t>
      </w:r>
      <w:r>
        <w:rPr>
          <w:rFonts w:ascii="Arial" w:hAnsi="Arial" w:eastAsia="Arial"/>
          <w:sz w:val="22"/>
          <w:szCs w:val="22"/>
          <w:color w:val="000000"/>
          <w:lang w:val="pt-BR"/>
        </w:rPr>
        <w:t xml:space="preserve"> Pasta loja-frete: instruções para iniciar a loja e executar testes, configurações e resultados.</w:t>
      </w:r>
    </w:p>
    <w:sectPr w:rsidR="00E215B3" w:rsidRPr="00311F97">
      <w:footerReference w:type="default" r:id="rId9"/>
      <w:pgSz w:w="11906" w:h="16838"/>
      <w:pgMar w:top="879" w:right="992" w:bottom="879" w:left="992" w:header="397" w:footer="36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EBC3E0" w14:textId="77777777" w:rsidR="0096228D" w:rsidRDefault="0096228D">
      <w:pPr>
        <w:spacing w:after="0" w:line="240" w:lineRule="auto"/>
      </w:pPr>
      <w:r>
        <w:separator/>
      </w:r>
    </w:p>
  </w:endnote>
  <w:endnote w:type="continuationSeparator" w:id="0">
    <w:p w14:paraId="50153318" w14:textId="77777777" w:rsidR="0096228D" w:rsidRDefault="0096228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FBA840" w14:textId="06D96D3C" w:rsidR="00E215B3" w:rsidRPr="00011AE8" w:rsidRDefault="002A7FCC">
    <w:pPr>
      <w:spacing w:after="0" w:line="240" w:lineRule="auto"/>
      <w:jc w:val="center"/>
      <w:rPr>
        <w:lang w:val="pt-BR"/>
      </w:rPr>
    </w:pPr>
    <w:r w:rsidRPr="00011AE8">
      <w:rPr>
        <w:rFonts w:eastAsia="Arial"/>
        <w:sz w:val="16"/>
        <w:lang w:val="pt-BR"/>
      </w:rPr>
      <w:t xml:space="preserve">Qualidade e Teste de Software · Trabalho B2 · Página </w:t>
    </w:r>
    <w:r w:rsidRPr="00011AE8">
      <w:rPr>
        <w:rFonts w:eastAsia="Arial"/>
        <w:sz w:val="16"/>
        <w:lang w:val="pt-BR"/>
      </w:rPr>
      <w:fldChar w:fldCharType="begin"/>
    </w:r>
    <w:r w:rsidRPr="00011AE8">
      <w:rPr>
        <w:rFonts w:eastAsia="Arial"/>
        <w:sz w:val="16"/>
        <w:lang w:val="pt-BR"/>
      </w:rPr>
      <w:instrText>PAGE</w:instrText>
    </w:r>
    <w:r w:rsidRPr="00011AE8">
      <w:rPr>
        <w:rFonts w:eastAsia="Arial"/>
        <w:sz w:val="16"/>
        <w:lang w:val="pt-BR"/>
      </w:rPr>
      <w:fldChar w:fldCharType="separate"/>
    </w:r>
    <w:r w:rsidRPr="00011AE8">
      <w:rPr>
        <w:rFonts w:eastAsia="Arial"/>
        <w:sz w:val="16"/>
        <w:lang w:val="pt-BR"/>
      </w:rPr>
      <w:t>1</w:t>
    </w:r>
    <w:r w:rsidRPr="00011AE8">
      <w:rPr>
        <w:rFonts w:eastAsia="Arial"/>
        <w:sz w:val="16"/>
        <w:lang w:val="pt-BR"/>
      </w:rPr>
      <w:fldChar w:fldCharType="end"/>
    </w:r>
    <w:r w:rsidRPr="00011AE8">
      <w:rPr>
        <w:rFonts w:eastAsia="Arial"/>
        <w:sz w:val="16"/>
        <w:lang w:val="pt-BR"/>
      </w:rPr>
      <w:t xml:space="preserve"> de </w:t>
    </w:r>
    <w:r w:rsidRPr="00011AE8">
      <w:rPr>
        <w:rFonts w:eastAsia="Arial"/>
        <w:sz w:val="16"/>
        <w:lang w:val="pt-BR"/>
      </w:rPr>
      <w:fldChar w:fldCharType="begin"/>
    </w:r>
    <w:r w:rsidRPr="00011AE8">
      <w:rPr>
        <w:rFonts w:eastAsia="Arial"/>
        <w:sz w:val="16"/>
        <w:lang w:val="pt-BR"/>
      </w:rPr>
      <w:instrText>NUMPAGES</w:instrText>
    </w:r>
    <w:r w:rsidRPr="00011AE8">
      <w:rPr>
        <w:rFonts w:eastAsia="Arial"/>
        <w:sz w:val="16"/>
        <w:lang w:val="pt-BR"/>
      </w:rPr>
      <w:fldChar w:fldCharType="separate"/>
    </w:r>
    <w:r w:rsidRPr="00011AE8">
      <w:rPr>
        <w:rFonts w:eastAsia="Arial"/>
        <w:sz w:val="16"/>
        <w:lang w:val="pt-BR"/>
      </w:rPr>
      <w:t>5</w:t>
    </w:r>
    <w:r w:rsidRPr="00011AE8">
      <w:rPr>
        <w:rFonts w:eastAsia="Arial"/>
        <w:sz w:val="16"/>
        <w:lang w:val="pt-BR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D92684" w14:textId="0E3E7ECC" w:rsidR="00E215B3" w:rsidRPr="006D1DC2" w:rsidRDefault="006D1DC2" w:rsidP="006D1DC2">
    <w:pPr>
      <w:spacing w:after="0" w:line="240" w:lineRule="auto"/>
      <w:jc w:val="center"/>
      <w:rPr>
        <w:lang w:val="pt-BR"/>
      </w:rPr>
    </w:pPr>
    <w:r w:rsidRPr="00011AE8">
      <w:rPr>
        <w:rFonts w:eastAsia="Arial"/>
        <w:sz w:val="16"/>
        <w:lang w:val="pt-BR"/>
      </w:rPr>
      <w:t xml:space="preserve">Qualidade e Teste de Software A1 Página </w:t>
    </w:r>
    <w:r w:rsidRPr="00011AE8">
      <w:rPr>
        <w:rFonts w:eastAsia="Arial"/>
        <w:sz w:val="16"/>
        <w:lang w:val="pt-BR"/>
      </w:rPr>
      <w:fldChar w:fldCharType="begin"/>
    </w:r>
    <w:r w:rsidRPr="00011AE8">
      <w:rPr>
        <w:rFonts w:eastAsia="Arial"/>
        <w:sz w:val="16"/>
        <w:lang w:val="pt-BR"/>
      </w:rPr>
      <w:instrText>PAGE</w:instrText>
    </w:r>
    <w:r w:rsidRPr="00011AE8">
      <w:rPr>
        <w:rFonts w:eastAsia="Arial"/>
        <w:sz w:val="16"/>
        <w:lang w:val="pt-BR"/>
      </w:rPr>
      <w:fldChar w:fldCharType="separate"/>
    </w:r>
    <w:r>
      <w:rPr>
        <w:rFonts w:eastAsia="Arial"/>
        <w:sz w:val="16"/>
        <w:lang w:val="pt-BR"/>
      </w:rPr>
      <w:t>5</w:t>
    </w:r>
    <w:r w:rsidRPr="00011AE8">
      <w:rPr>
        <w:rFonts w:eastAsia="Arial"/>
        <w:sz w:val="16"/>
        <w:lang w:val="pt-BR"/>
      </w:rPr>
      <w:fldChar w:fldCharType="end"/>
    </w:r>
    <w:r w:rsidRPr="00011AE8">
      <w:rPr>
        <w:rFonts w:eastAsia="Arial"/>
        <w:sz w:val="16"/>
        <w:lang w:val="pt-BR"/>
      </w:rPr>
      <w:t xml:space="preserve"> de </w:t>
    </w:r>
    <w:r w:rsidRPr="00011AE8">
      <w:rPr>
        <w:rFonts w:eastAsia="Arial"/>
        <w:sz w:val="16"/>
        <w:lang w:val="pt-BR"/>
      </w:rPr>
      <w:fldChar w:fldCharType="begin"/>
    </w:r>
    <w:r w:rsidRPr="00011AE8">
      <w:rPr>
        <w:rFonts w:eastAsia="Arial"/>
        <w:sz w:val="16"/>
        <w:lang w:val="pt-BR"/>
      </w:rPr>
      <w:instrText>NUMPAGES</w:instrText>
    </w:r>
    <w:r w:rsidRPr="00011AE8">
      <w:rPr>
        <w:rFonts w:eastAsia="Arial"/>
        <w:sz w:val="16"/>
        <w:lang w:val="pt-BR"/>
      </w:rPr>
      <w:fldChar w:fldCharType="separate"/>
    </w:r>
    <w:r>
      <w:rPr>
        <w:rFonts w:eastAsia="Arial"/>
        <w:sz w:val="16"/>
        <w:lang w:val="pt-BR"/>
      </w:rPr>
      <w:t>8</w:t>
    </w:r>
    <w:r w:rsidRPr="00011AE8">
      <w:rPr>
        <w:rFonts w:eastAsia="Arial"/>
        <w:sz w:val="16"/>
        <w:lang w:val="pt-BR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715F8" w14:textId="5B3B1DAE" w:rsidR="00E215B3" w:rsidRPr="00E679C8" w:rsidRDefault="00E679C8" w:rsidP="00E679C8">
    <w:pPr>
      <w:spacing w:after="0" w:line="240" w:lineRule="auto"/>
      <w:jc w:val="center"/>
      <w:rPr>
        <w:lang w:val="pt-BR"/>
      </w:rPr>
    </w:pPr>
    <w:r w:rsidRPr="00011AE8">
      <w:rPr>
        <w:rFonts w:eastAsia="Arial"/>
        <w:sz w:val="16"/>
        <w:lang w:val="pt-BR"/>
      </w:rPr>
      <w:t xml:space="preserve">Qualidade e Teste de Software A1 Página </w:t>
    </w:r>
    <w:r w:rsidRPr="00011AE8">
      <w:rPr>
        <w:rFonts w:eastAsia="Arial"/>
        <w:sz w:val="16"/>
        <w:lang w:val="pt-BR"/>
      </w:rPr>
      <w:fldChar w:fldCharType="begin"/>
    </w:r>
    <w:r w:rsidRPr="00011AE8">
      <w:rPr>
        <w:rFonts w:eastAsia="Arial"/>
        <w:sz w:val="16"/>
        <w:lang w:val="pt-BR"/>
      </w:rPr>
      <w:instrText>PAGE</w:instrText>
    </w:r>
    <w:r w:rsidRPr="00011AE8">
      <w:rPr>
        <w:rFonts w:eastAsia="Arial"/>
        <w:sz w:val="16"/>
        <w:lang w:val="pt-BR"/>
      </w:rPr>
      <w:fldChar w:fldCharType="separate"/>
    </w:r>
    <w:r>
      <w:rPr>
        <w:rFonts w:eastAsia="Arial"/>
        <w:sz w:val="16"/>
        <w:lang w:val="pt-BR"/>
      </w:rPr>
      <w:t>5</w:t>
    </w:r>
    <w:r w:rsidRPr="00011AE8">
      <w:rPr>
        <w:rFonts w:eastAsia="Arial"/>
        <w:sz w:val="16"/>
        <w:lang w:val="pt-BR"/>
      </w:rPr>
      <w:fldChar w:fldCharType="end"/>
    </w:r>
    <w:r w:rsidRPr="00011AE8">
      <w:rPr>
        <w:rFonts w:eastAsia="Arial"/>
        <w:sz w:val="16"/>
        <w:lang w:val="pt-BR"/>
      </w:rPr>
      <w:t xml:space="preserve"> de </w:t>
    </w:r>
    <w:r w:rsidRPr="00011AE8">
      <w:rPr>
        <w:rFonts w:eastAsia="Arial"/>
        <w:sz w:val="16"/>
        <w:lang w:val="pt-BR"/>
      </w:rPr>
      <w:fldChar w:fldCharType="begin"/>
    </w:r>
    <w:r w:rsidRPr="00011AE8">
      <w:rPr>
        <w:rFonts w:eastAsia="Arial"/>
        <w:sz w:val="16"/>
        <w:lang w:val="pt-BR"/>
      </w:rPr>
      <w:instrText>NUMPAGES</w:instrText>
    </w:r>
    <w:r w:rsidRPr="00011AE8">
      <w:rPr>
        <w:rFonts w:eastAsia="Arial"/>
        <w:sz w:val="16"/>
        <w:lang w:val="pt-BR"/>
      </w:rPr>
      <w:fldChar w:fldCharType="separate"/>
    </w:r>
    <w:r>
      <w:rPr>
        <w:rFonts w:eastAsia="Arial"/>
        <w:sz w:val="16"/>
        <w:lang w:val="pt-BR"/>
      </w:rPr>
      <w:t>8</w:t>
    </w:r>
    <w:r w:rsidRPr="00011AE8">
      <w:rPr>
        <w:rFonts w:eastAsia="Arial"/>
        <w:sz w:val="16"/>
        <w:lang w:val="pt-B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D06460" w14:textId="77777777" w:rsidR="0096228D" w:rsidRDefault="0096228D">
      <w:pPr>
        <w:spacing w:after="0" w:line="240" w:lineRule="auto"/>
      </w:pPr>
      <w:r>
        <w:separator/>
      </w:r>
    </w:p>
  </w:footnote>
  <w:footnote w:type="continuationSeparator" w:id="0">
    <w:p w14:paraId="47904EDF" w14:textId="77777777" w:rsidR="0096228D" w:rsidRDefault="0096228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84131566">
    <w:abstractNumId w:val="8"/>
  </w:num>
  <w:num w:numId="2" w16cid:durableId="913975232">
    <w:abstractNumId w:val="6"/>
  </w:num>
  <w:num w:numId="3" w16cid:durableId="2023894661">
    <w:abstractNumId w:val="5"/>
  </w:num>
  <w:num w:numId="4" w16cid:durableId="1069956984">
    <w:abstractNumId w:val="4"/>
  </w:num>
  <w:num w:numId="5" w16cid:durableId="958415793">
    <w:abstractNumId w:val="7"/>
  </w:num>
  <w:num w:numId="6" w16cid:durableId="450588772">
    <w:abstractNumId w:val="3"/>
  </w:num>
  <w:num w:numId="7" w16cid:durableId="268009034">
    <w:abstractNumId w:val="2"/>
  </w:num>
  <w:num w:numId="8" w16cid:durableId="2077043135">
    <w:abstractNumId w:val="1"/>
  </w:num>
  <w:num w:numId="9" w16cid:durableId="16235336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AE8"/>
    <w:rsid w:val="00034616"/>
    <w:rsid w:val="000523AF"/>
    <w:rsid w:val="0006063C"/>
    <w:rsid w:val="0009077D"/>
    <w:rsid w:val="000C616C"/>
    <w:rsid w:val="000D4565"/>
    <w:rsid w:val="000E2D0A"/>
    <w:rsid w:val="00106E27"/>
    <w:rsid w:val="0015074B"/>
    <w:rsid w:val="001E024A"/>
    <w:rsid w:val="001F2D5C"/>
    <w:rsid w:val="00211A37"/>
    <w:rsid w:val="00292A95"/>
    <w:rsid w:val="0029639D"/>
    <w:rsid w:val="002A7FCC"/>
    <w:rsid w:val="00311F97"/>
    <w:rsid w:val="00313FFC"/>
    <w:rsid w:val="00320A0E"/>
    <w:rsid w:val="00326F90"/>
    <w:rsid w:val="00334CB1"/>
    <w:rsid w:val="00334D18"/>
    <w:rsid w:val="00362C23"/>
    <w:rsid w:val="0036684C"/>
    <w:rsid w:val="003A3FB8"/>
    <w:rsid w:val="004004C3"/>
    <w:rsid w:val="00455C9A"/>
    <w:rsid w:val="004F4989"/>
    <w:rsid w:val="00513A8A"/>
    <w:rsid w:val="005F6E01"/>
    <w:rsid w:val="00647586"/>
    <w:rsid w:val="0068665F"/>
    <w:rsid w:val="006D1DC2"/>
    <w:rsid w:val="0076158E"/>
    <w:rsid w:val="007930C6"/>
    <w:rsid w:val="0079706D"/>
    <w:rsid w:val="008579CB"/>
    <w:rsid w:val="00891D64"/>
    <w:rsid w:val="008C0A23"/>
    <w:rsid w:val="00915DEA"/>
    <w:rsid w:val="0096228D"/>
    <w:rsid w:val="00963502"/>
    <w:rsid w:val="009F6DA9"/>
    <w:rsid w:val="00A06B86"/>
    <w:rsid w:val="00AA1D8D"/>
    <w:rsid w:val="00AF5DB3"/>
    <w:rsid w:val="00B47730"/>
    <w:rsid w:val="00B5198E"/>
    <w:rsid w:val="00B81B0E"/>
    <w:rsid w:val="00BE323C"/>
    <w:rsid w:val="00BE4B67"/>
    <w:rsid w:val="00C1749A"/>
    <w:rsid w:val="00C735BD"/>
    <w:rsid w:val="00CB0664"/>
    <w:rsid w:val="00D23996"/>
    <w:rsid w:val="00D24F07"/>
    <w:rsid w:val="00D330E2"/>
    <w:rsid w:val="00DA075A"/>
    <w:rsid w:val="00DC064D"/>
    <w:rsid w:val="00E01246"/>
    <w:rsid w:val="00E215B3"/>
    <w:rsid w:val="00E472E8"/>
    <w:rsid w:val="00E679C8"/>
    <w:rsid w:val="00EA76F6"/>
    <w:rsid w:val="00EC5807"/>
    <w:rsid w:val="00F80B81"/>
    <w:rsid w:val="00F9278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B6D90449-7C06-4834-A7B2-4F97E3EA7C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 w:line="252" w:lineRule="auto"/>
    </w:pPr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4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0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00" Type="http://schemas.openxmlformats.org/officeDocument/2006/relationships/hyperlink" Target="https://eslint.org/docs/latest/use/getting-started" TargetMode="External"/><Relationship Id="rId101" Type="http://schemas.openxmlformats.org/officeDocument/2006/relationships/hyperlink" Target="https://www.sonarsource.com/open-source/" TargetMode="External"/><Relationship Id="rId102" Type="http://schemas.openxmlformats.org/officeDocument/2006/relationships/hyperlink" Target="https://docs.github.com/en/issues/tracking-your-work-with-issues/using-issues/creating-an-issue" TargetMode="External"/><Relationship Id="rId103" Type="http://schemas.openxmlformats.org/officeDocument/2006/relationships/hyperlink" Target="https://support.atlassian.com/jira-software-cloud/docs/create-a-work-item-and-a-subtask/" TargetMode="External"/><Relationship Id="rId104" Type="http://schemas.openxmlformats.org/officeDocument/2006/relationships/hyperlink" Target="https://www.bugzilla.org/about/" TargetMode="External"/><Relationship Id="rId105" Type="http://schemas.openxmlformats.org/officeDocument/2006/relationships/hyperlink" Target="https://docs.gitlab.com/user/project/issues/" TargetMode="External"/><Relationship Id="rId106" Type="http://schemas.openxmlformats.org/officeDocument/2006/relationships/hyperlink" Target="https://docs.github.com/en/actions/get-started/quickstart" TargetMode="External"/><Relationship Id="rId107" Type="http://schemas.openxmlformats.org/officeDocument/2006/relationships/hyperlink" Target="https://vitest.dev/guide/" TargetMode="External"/><Relationship Id="rId108" Type="http://schemas.openxmlformats.org/officeDocument/2006/relationships/hyperlink" Target="https://jestjs.io/docs/getting-started" TargetMode="External"/><Relationship Id="rId109" Type="http://schemas.openxmlformats.org/officeDocument/2006/relationships/hyperlink" Target="https://docs.junit.org/6.1.3/overview.html" TargetMode="External"/><Relationship Id="rId110" Type="http://schemas.openxmlformats.org/officeDocument/2006/relationships/hyperlink" Target="https://learning.postman.com/docs/tests-and-scripts/write-scripts/test-scripts" TargetMode="External"/><Relationship Id="rId111" Type="http://schemas.openxmlformats.org/officeDocument/2006/relationships/hyperlink" Target="https://playwright.dev/docs/intro" TargetMode="External"/><Relationship Id="rId112" Type="http://schemas.openxmlformats.org/officeDocument/2006/relationships/hyperlink" Target="https://grafana.com/docs/k6/latest/get-started/write-your-first-test/" TargetMode="External"/><Relationship Id="rId113" Type="http://schemas.openxmlformats.org/officeDocument/2006/relationships/hyperlink" Target="https://istqb.org/wp-content/uploads/2024/11/ISTQB_CTFL_Syllabus_v4.0.1.pdf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</TotalTime>
  <Pages>5</Pages>
  <Words>2020</Words>
  <Characters>10722</Characters>
  <Application>Microsoft Office Word</Application>
  <DocSecurity>0</DocSecurity>
  <Lines>89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12682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QTS - Guia do Trabalho Aplicado - Segundo Bimestre</dc:title>
  <dc:subject>Orientações e ficha do grupo</dc:subject>
  <dc:creator>UNIMATER</dc:creator>
  <cp:keywords/>
  <dc:description>Trabalho de qualidade e testes de software, com ficha e aplicação ao cálculo do frete.</dc:description>
  <cp:lastModifiedBy>Muriel Mazzetto</cp:lastModifiedBy>
  <cp:revision>1</cp:revision>
  <dcterms:created xsi:type="dcterms:W3CDTF">2026-10-04T20:24:41Z</dcterms:created>
  <dcterms:modified xsi:type="dcterms:W3CDTF">2026-10-04T20:24:41Z</dcterms:modified>
  <cp:category/>
</cp:coreProperties>
</file>