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Pearson 相關係數統計分析報告 (各維度比較)</w:t>
      </w:r>
    </w:p>
    <w:p>
      <w:pPr>
        <w:pStyle w:val="Heading1"/>
      </w:pPr>
      <w:r>
        <w:t>一、 全樣本相關性綜述</w:t>
      </w:r>
    </w:p>
    <w:p>
      <w:r>
        <w:t>根據主分析表顯示，累計報酬率與多項核心變數呈現顯著關聯：</w:t>
      </w:r>
    </w:p>
    <w:p>
      <w:pPr>
        <w:pStyle w:val="ListBullet"/>
      </w:pPr>
      <w:r>
        <w:t>TESG 績效：與資產規模呈極顯著正相關 (r=0.4822, p&lt;0.01)，顯示 ESG 表現與企業資源實力高度同步。</w:t>
      </w:r>
    </w:p>
    <w:p>
      <w:pPr>
        <w:pStyle w:val="ListBullet"/>
      </w:pPr>
      <w:r>
        <w:t>現金管理：現金充裕度與報酬率呈現顯著正向連結 (r=0.0476, p&lt;0.05)，顯示穩健的現金流對市場信心的支撐。</w:t>
      </w:r>
    </w:p>
    <w:p>
      <w:pPr>
        <w:pStyle w:val="ListBullet"/>
      </w:pPr>
      <w:r>
        <w:t>AI 技術：AI 變數與財務穩定性指標（如槓桿比、資產報酬率）呈現結構性相關，暗示技術投入與財務體質的互動關係。</w:t>
      </w:r>
    </w:p>
    <w:p>
      <w:pPr>
        <w:pStyle w:val="Heading1"/>
      </w:pPr>
      <w:r>
        <w:t>二、 維度 1：事件衝擊維度分析</w:t>
      </w:r>
    </w:p>
    <w:p>
      <w:r>
        <w:t>在維度 1 的子樣本中，觀察到以下獨特現象：</w:t>
      </w:r>
    </w:p>
    <w:p>
      <w:pPr>
        <w:pStyle w:val="ListBullet"/>
      </w:pPr>
      <w:r>
        <w:t>直接影響：維度 1 指標本身與報酬率呈現強烈的顯著正相關 (r=0.2291, p&lt;0.01)，說明此維度所代表的事件對市場價值有顯著提升作用。</w:t>
      </w:r>
    </w:p>
    <w:p>
      <w:pPr>
        <w:pStyle w:val="ListBullet"/>
      </w:pPr>
      <w:r>
        <w:t>風險因子：槓桿比與此維度報酬率呈現邊際負相關，顯示在高衝擊環境下，高槓桿企業面臨較大市場壓力。</w:t>
      </w:r>
    </w:p>
    <w:p>
      <w:pPr>
        <w:pStyle w:val="Heading1"/>
      </w:pPr>
      <w:r>
        <w:t>三、 維度 2 (供應鏈) 與 維度 3 (風險管理) 之對比</w:t>
      </w:r>
    </w:p>
    <w:p>
      <w:r>
        <w:t>這兩個維度在統計結構上展現出高度的一致性：</w:t>
      </w:r>
    </w:p>
    <w:p>
      <w:pPr>
        <w:pStyle w:val="ListBullet"/>
      </w:pPr>
      <w:r>
        <w:t>規模效應：維度 2 (r=0.1123) 與 維度 3 (r=0.1436) 均與企業資產規模呈極顯著正相關，顯示大型企業在此二維度的運作深度較強。</w:t>
      </w:r>
    </w:p>
    <w:p>
      <w:pPr>
        <w:pStyle w:val="ListBullet"/>
      </w:pPr>
      <w:r>
        <w:t>治理驅動：兩者均與 TESG 分數保持顯著正相關 (p&lt;0.01)，顯示供應鏈韌性與風險管理能力是企業永續治理的重要組成部分。</w:t>
      </w:r>
    </w:p>
    <w:p>
      <w:pPr>
        <w:pStyle w:val="Heading1"/>
      </w:pPr>
      <w:r>
        <w:t>四、 結論</w:t>
      </w:r>
    </w:p>
    <w:p>
      <w:r>
        <w:t>綜合四份相關係數表之分析，本研究發現企業的 AI 技術力與現金儲備是驅動異常報酬的核心因子。此外，不同維度的事件反應展現了差異化的特徵，其中維度 1 具備最強的直接預測力，而維度 2 與 3 則深受企業規模與治理質量的影響。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