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Pearson 相關係數統計分析報告</w:t>
      </w:r>
    </w:p>
    <w:p>
      <w:pPr>
        <w:pStyle w:val="Heading1"/>
      </w:pPr>
      <w:r>
        <w:t>一、 整體樣本分析結果</w:t>
      </w:r>
    </w:p>
    <w:p>
      <w:r>
        <w:rPr>
          <w:b/>
        </w:rPr>
        <w:t>根據主分析表顯示，影響「累計報酬率 (CAR)」的核心因素如下：</w:t>
      </w:r>
    </w:p>
    <w:p>
      <w:pPr>
        <w:pStyle w:val="ListBullet"/>
      </w:pPr>
      <w:r>
        <w:t>AI 變數：與累計報酬率呈極顯著正相關 (r=0.0621, p&lt;0.01)，顯示市場對於 AI 技術含量的正面評價。</w:t>
      </w:r>
    </w:p>
    <w:p>
      <w:pPr>
        <w:pStyle w:val="ListBullet"/>
      </w:pPr>
      <w:r>
        <w:t>現金充裕度：呈顯著正相關 (r=0.0475, p&lt;0.05)，說明充足的現金流量有助於支撐事件期間的股價表現。</w:t>
      </w:r>
    </w:p>
    <w:p>
      <w:pPr>
        <w:pStyle w:val="ListBullet"/>
      </w:pPr>
      <w:r>
        <w:t>公司規模與 ESG：資產總額與 TESG 分數具有極高相關性 (r=0.4943, p&lt;0.01)，顯示大型企業在 ESG 投入上較具優勢。</w:t>
      </w:r>
    </w:p>
    <w:p>
      <w:pPr>
        <w:pStyle w:val="Heading1"/>
      </w:pPr>
      <w:r>
        <w:t>二、 維度 1：事件衝擊分析</w:t>
      </w:r>
    </w:p>
    <w:p>
      <w:r>
        <w:t>在維度 1 的分組中，累計報酬率受到以下因素顯著影響：</w:t>
      </w:r>
    </w:p>
    <w:p>
      <w:pPr>
        <w:pStyle w:val="ListBullet"/>
      </w:pPr>
      <w:r>
        <w:t>槓桿比：呈顯著正相關 (r=0.0476, p&lt;0.05)。</w:t>
      </w:r>
    </w:p>
    <w:p>
      <w:pPr>
        <w:pStyle w:val="ListBullet"/>
      </w:pPr>
      <w:r>
        <w:t>董事長兼任總經理：呈顯著正相關 (r=0.0496, p&lt;0.05)，顯示在該維度情境下，領導權統一可能有助於績效穩定。</w:t>
      </w:r>
    </w:p>
    <w:p>
      <w:pPr>
        <w:pStyle w:val="ListBullet"/>
      </w:pPr>
      <w:r>
        <w:t>TESG 分數：呈顯著正相關 (r=0.0406, p&lt;0.10)，表現出 ESG 績效在事件衝擊中的緩衝保護作用。</w:t>
      </w:r>
    </w:p>
    <w:p>
      <w:pPr>
        <w:pStyle w:val="Heading1"/>
      </w:pPr>
      <w:r>
        <w:t>三、 維度 2 與維度 3 之對比分析</w:t>
      </w:r>
    </w:p>
    <w:p>
      <w:r>
        <w:t>維度 2 與維度 3 呈現出高度相似的結構性特徵：</w:t>
      </w:r>
    </w:p>
    <w:p>
      <w:pPr>
        <w:pStyle w:val="ListBullet"/>
      </w:pPr>
      <w:r>
        <w:t>公司治理特徵：兩者均與「資產總額」與「董事會規模」呈極顯著正相關 (p&lt;0.01)。</w:t>
      </w:r>
    </w:p>
    <w:p>
      <w:pPr>
        <w:pStyle w:val="ListBullet"/>
      </w:pPr>
      <w:r>
        <w:t>維度 3 的獨特性：維度 3 與「集團控制型態」呈顯著負相關 (r=-0.0462, p&lt;0.05)，暗示集團企業在維度 3 的決策中可能面臨不同的結構限制。</w:t>
      </w:r>
    </w:p>
    <w:p>
      <w:pPr>
        <w:pStyle w:val="ListBullet"/>
      </w:pPr>
      <w:r>
        <w:t>TESG 表現：維度 3 與 TESG 的相關性 (r=0.0998) 略高於維度 2 (r=0.0761)，顯示維度 3 與企業永續經營指標的連結更強。</w:t>
      </w:r>
    </w:p>
    <w:p>
      <w:pPr>
        <w:pStyle w:val="Heading1"/>
      </w:pPr>
      <w:r>
        <w:t>四、 結論與建議</w:t>
      </w:r>
    </w:p>
    <w:p>
      <w:r>
        <w:t>綜合上述分析，本研究發現 AI 技術能力與企業的現金儲備是決定市場異常報酬的重要關鍵。同時，高 ESG 表現的公司多集中於大型企業，且在面對不同維度的市場衝擊時，展現出不盡相同的治理韌性。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