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0D4550"/>
          <w:sz w:val="36"/>
        </w:rPr>
        <w:t>RESEARCH PROPOSAL</w:t>
      </w:r>
    </w:p>
    <w:p>
      <w:pPr>
        <w:spacing w:before="200"/>
        <w:jc w:val="center"/>
      </w:pPr>
      <w:r>
        <w:rPr>
          <w:sz w:val="25"/>
        </w:rPr>
        <w:t>Satellite Image-Based Identification of Newly Established Temporary Settlements in Remote Areas Using Machine Learning and Computer Vision</w:t>
      </w:r>
    </w:p>
    <w:p>
      <w:pPr>
        <w:spacing w:before="200"/>
        <w:jc w:val="center"/>
      </w:pPr>
      <w:r>
        <w:rPr>
          <w:sz w:val="25"/>
        </w:rPr>
        <w:t>Research project proposal (Chapters One to Three)</w:t>
      </w:r>
    </w:p>
    <w:p>
      <w:pPr>
        <w:spacing w:before="200"/>
        <w:jc w:val="center"/>
      </w:pPr>
      <w:r>
        <w:rPr>
          <w:sz w:val="25"/>
        </w:rPr>
        <w:t>Candidate: [Student Name]</w:t>
      </w:r>
    </w:p>
    <w:p>
      <w:pPr>
        <w:spacing w:before="200"/>
        <w:jc w:val="center"/>
      </w:pPr>
      <w:r>
        <w:rPr>
          <w:sz w:val="25"/>
        </w:rPr>
        <w:t>Department: [Department / Faculty]</w:t>
      </w:r>
    </w:p>
    <w:p>
      <w:pPr>
        <w:spacing w:before="200"/>
        <w:jc w:val="center"/>
      </w:pPr>
      <w:r>
        <w:rPr>
          <w:sz w:val="25"/>
        </w:rPr>
        <w:t>Institution: [University]</w:t>
      </w:r>
    </w:p>
    <w:p>
      <w:pPr>
        <w:spacing w:before="200"/>
        <w:jc w:val="center"/>
      </w:pPr>
      <w:r>
        <w:rPr>
          <w:sz w:val="25"/>
        </w:rPr>
        <w:t>Supervisor: [Supervisor Name]</w:t>
      </w:r>
    </w:p>
    <w:p>
      <w:pPr>
        <w:spacing w:before="200"/>
        <w:jc w:val="center"/>
      </w:pPr>
      <w:r>
        <w:rPr>
          <w:sz w:val="25"/>
        </w:rPr>
        <w:t>Date: October 2026</w:t>
      </w:r>
    </w:p>
    <w:p>
      <w:pPr>
        <w:spacing w:before="500"/>
        <w:jc w:val="center"/>
      </w:pPr>
      <w:r>
        <w:rPr>
          <w:b/>
        </w:rPr>
        <w:t>RESEARCH DRAFT • INTEGRATION/EMPIRICAL VALIDATION STATUS EXPLICITLY REPORTED</w:t>
      </w:r>
    </w:p>
    <w:p>
      <w:r>
        <w:br w:type="page"/>
      </w:r>
    </w:p>
    <w:p>
      <w:pPr>
        <w:pStyle w:val="Heading1"/>
        <w:jc w:val="center"/>
      </w:pPr>
      <w:r>
        <w:t>ABSTRACT</w:t>
      </w:r>
    </w:p>
    <w:p>
      <w:pPr>
        <w:ind w:firstLine="389"/>
        <w:jc w:val="both"/>
      </w:pPr>
      <w:r>
        <w:t>New temporary settlements may arise in areas that are difficult to reach through conventional field surveys. Earth observation provides a repeatable way to observe land-cover changes, but distinguishing a temporary settlement from farming, construction, seasonal vegetation loss or other disturbances is scientifically challenging, particularly when using open imagery at ten-metre spatial resolution. This study proposes a reproducible satellite-image change-detection system that uses Sentinel-2 Level-2A imagery, computer vision and an optional supervised classifier to flag candidate locations for independent review. A web interface on Vercel will support scene discovery and protected decision review, while an Aiven PostgreSQL/PostGIS database will store geospatial evidence. The research method includes temporal image selection, cloud masking, spatial alignment, spectral feature extraction, object segmentation, ground-truth labelling, geographically independent model evaluation and ethical controls for potentially sensitive community locations. The expected output is a functioning research prototype, documented datasets and methods, and evidence-based measurement of precision, recall, F1 and spatial overlap if adequate field labels are obtained. No empirical accuracy claim is made before that evaluation.</w:t>
      </w:r>
    </w:p>
    <w:p>
      <w:r>
        <w:br w:type="page"/>
      </w:r>
    </w:p>
    <w:p>
      <w:pPr>
        <w:pStyle w:val="Heading1"/>
        <w:jc w:val="center"/>
      </w:pPr>
      <w:r>
        <w:t>CHAPTER ONE: INTRODUCTION</w:t>
      </w:r>
    </w:p>
    <w:p>
      <w:pPr>
        <w:pStyle w:val="Heading2"/>
      </w:pPr>
      <w:r>
        <w:t>1.1 Background of the study</w:t>
      </w:r>
    </w:p>
    <w:p>
      <w:pPr>
        <w:ind w:firstLine="389"/>
        <w:jc w:val="both"/>
      </w:pPr>
      <w:r>
        <w:t>Temporary settlements emerge for different reasons, including seasonal work, livelihood movement, infrastructure activity and humanitarian displacement. Some may be established far from regularly surveyed roads and populated centres. The ability to identify landscape change around such sites can support research into evolving land use and help analysts decide where further observation is warranted. However, the establishment of a settlement is not directly visible as a social event from space. Satellite images measure reflected electromagnetic energy; interpretation requires linking those measurements to plausible physical changes and, where necessary, independent ground observations.</w:t>
      </w:r>
    </w:p>
    <w:p>
      <w:pPr>
        <w:ind w:firstLine="389"/>
        <w:jc w:val="both"/>
      </w:pPr>
      <w:r>
        <w:t>Remote sensing has become an important approach to repeated landscape observation because satellite archives provide comparable multi-date views. The European Space Agency's Sentinel-2 mission supplies multispectral observations with selected ten-metre bands and a nominal five-day revisit pattern, although the effective cloud-free observation frequency is usually lower. This combination supports broad-scale land-cover change monitoring, especially where local imagery collection is difficult (European Space Agency [ESA], n.d.). Yet many temporary shelters occupy only a few metres each. A ten-metre pixel represents an area much larger than a small tent; therefore, direct tent counting or accurate identification of isolated shelters cannot be assumed. Larger compounds, substantial clearing, associated paths and persistent changes may be more detectable.</w:t>
      </w:r>
    </w:p>
    <w:p>
      <w:pPr>
        <w:ind w:firstLine="389"/>
        <w:jc w:val="both"/>
      </w:pPr>
      <w:r>
        <w:t>Computer vision and machine learning offer methods for comparing images from different dates. Simple methods examine changes in pixel intensity or spectral indices; more complex techniques segment objects or learn spatial patterns using labelled examples. Research reviews have shown that change-detection performance depends heavily on image registration, seasonal differences, sensor characteristics, cloud contamination, class imbalance and model generalisation ("Change Detection With Cross-Domain Remote Sensing Images," 2024; "Deep Learning-Based Change Detection in Remote Sensing," 2025). Consequently, detecting change is not equivalent to correctly classifying the cause of that change.</w:t>
      </w:r>
    </w:p>
    <w:p>
      <w:pPr>
        <w:ind w:firstLine="389"/>
        <w:jc w:val="both"/>
      </w:pPr>
      <w:r>
        <w:t>This study takes a staged approach. The initial system will combine public Sentinel-2 images with explainable multispectral differences to produce candidate change polygons. A labelled-data stage will then test whether a supervised classifier can distinguish likely new settlements from common alternatives. The project also seeks to make the analysis auditable through recorded source scenes, observation dates, processing parameters, review outcomes and reproducible scripts. Human review is central rather than an afterthought.</w:t>
      </w:r>
    </w:p>
    <w:p>
      <w:pPr>
        <w:pStyle w:val="Heading2"/>
      </w:pPr>
      <w:r>
        <w:t>1.2 Statement of the problem</w:t>
      </w:r>
    </w:p>
    <w:p>
      <w:pPr>
        <w:ind w:firstLine="389"/>
        <w:jc w:val="both"/>
      </w:pPr>
      <w:r>
        <w:t>In remote regions, the absence of frequent field surveys makes it difficult to notice newly established temporary built-up areas promptly. Analysts may rely on manual inspection of large satellite archives, an approach that is repetitive, time-consuming and subject to inconsistency. Even when automated change tools are available, they may produce false alerts from farms, erosion, fire scars, bare soil and seasonal differences. Cloud obstruction can hide relevant changes, and inadequate documentation can prevent independent confirmation.</w:t>
      </w:r>
    </w:p>
    <w:p>
      <w:pPr>
        <w:ind w:firstLine="389"/>
        <w:jc w:val="both"/>
      </w:pPr>
      <w:r>
        <w:t>The practical problem is therefore not merely how to obtain satellite pictures. It is how to construct an affordable, reproducible workflow that identifies plausible areas of new physical development while preserving the distinction between change evidence and verified settlement classification. A system that labels every significant vegetation loss as a new settlement would be operationally misleading. The investigation will address scene acquisition, image comparison, candidate generation, spatial storage and structured validation, and will measure classification reliability only when independent reference data support such measurement.</w:t>
      </w:r>
    </w:p>
    <w:p>
      <w:pPr>
        <w:pStyle w:val="Heading2"/>
      </w:pPr>
      <w:r>
        <w:t>1.3 Aim and objectives</w:t>
      </w:r>
    </w:p>
    <w:p>
      <w:pPr>
        <w:ind w:firstLine="389"/>
        <w:jc w:val="both"/>
      </w:pPr>
      <w:r>
        <w:t>The aim is to design, implement and evaluate a satellite image-based system for detecting candidate newly established temporary settlement areas in remote locations using computer vision and, subject to labelled-data availability, machine learning.</w:t>
      </w:r>
    </w:p>
    <w:p>
      <w:pPr>
        <w:ind w:firstLine="389"/>
        <w:jc w:val="both"/>
      </w:pPr>
      <w:r>
        <w:t>The specific objectives are to: (1) obtain freely available multi-temporal Sentinel-2 imagery for selected remote study areas; (2) preprocess the imagery through spatial alignment, cloud exclusion and spectral normalisation; (3) develop a computer vision pipeline that generates polygons of significant landscape change; (4) construct an optional supervised classifier from independently verified change labels; (5) implement an interactive review dashboard and geospatial database with reproducible source provenance; and (6) evaluate system correctness, scientific classification performance and limitations through documented tests and independent validation.</w:t>
      </w:r>
    </w:p>
    <w:p>
      <w:pPr>
        <w:pStyle w:val="Heading2"/>
      </w:pPr>
      <w:r>
        <w:t>1.4 Research questions</w:t>
      </w:r>
    </w:p>
    <w:p>
      <w:pPr>
        <w:ind w:firstLine="389"/>
        <w:jc w:val="both"/>
      </w:pPr>
      <w:r>
        <w:t>RQ1: To what extent can open multispectral satellite imagery reveal physical landscape changes associated with newly established temporary settlement areas? RQ2: Which combinations of vegetation, brightness, built-up and spatial features best separate settlement-like changes from other disturbances? RQ3: How do cloud cover, seasonality, image resolution and study-area differences affect reliability? RQ4: Can a reproducible web-and-database workflow support credible analyst review without misrepresenting unverified detections as confirmed settlements?</w:t>
      </w:r>
    </w:p>
    <w:p>
      <w:pPr>
        <w:pStyle w:val="Heading2"/>
      </w:pPr>
      <w:r>
        <w:t>1.5 Research hypotheses</w:t>
      </w:r>
    </w:p>
    <w:p>
      <w:pPr>
        <w:ind w:firstLine="389"/>
        <w:jc w:val="both"/>
      </w:pPr>
      <w:r>
        <w:t>H01: A model using multi-temporal spectral and spatial features will not achieve higher F1 than a vegetation-loss-only baseline on geographically held-out labelled sites. H11: Such a model will achieve higher F1 than the baseline under the same evaluation protocol. H02: The difference in candidate false-positive rates between high-cloud and low-cloud observations will not be statistically or practically material; H12: cloud conditions will materially affect false-positive rates. Hypothesis tests will be conducted only if sufficient samples exist, and the chosen significance level and confidence intervals will be documented before analysis.</w:t>
      </w:r>
    </w:p>
    <w:p>
      <w:pPr>
        <w:pStyle w:val="Heading2"/>
      </w:pPr>
      <w:r>
        <w:t>1.6 Significance of the study</w:t>
      </w:r>
    </w:p>
    <w:p>
      <w:pPr>
        <w:ind w:firstLine="389"/>
        <w:jc w:val="both"/>
      </w:pPr>
      <w:r>
        <w:t>The scientific value lies in testing a reproducible distinction between spectral change and the semantic interpretation of a new settlement. The engineering value lies in an auditable architecture using public imagery, accessible Python processing tools, a standard spatial database and a browser-based review interface. For geospatial practitioners, the system could reduce the amount of imagery that requires initial human screening by prioritising candidate regions, provided that its error rates are acceptably low. For decision makers, clear uncertainty and evidence labels should reduce the risk of treating preliminary automated output as fact.</w:t>
      </w:r>
    </w:p>
    <w:p>
      <w:pPr>
        <w:ind w:firstLine="389"/>
        <w:jc w:val="both"/>
      </w:pPr>
      <w:r>
        <w:t>The study also has a responsible-data dimension. An apparently accurate geospatial map can unintentionally expose locations of vulnerable populations. The United Nations Office for the Coordination of Humanitarian Affairs (OCHA, 2025) emphasizes safe, ethical and effective management of operational information. The proposed system will use access controls, human review and cautious location sharing to avoid converting a technical research output into unaccountable public tracking.</w:t>
      </w:r>
    </w:p>
    <w:p>
      <w:pPr>
        <w:pStyle w:val="Heading2"/>
      </w:pPr>
      <w:r>
        <w:t>1.7 Scope and delimitation</w:t>
      </w:r>
    </w:p>
    <w:p>
      <w:pPr>
        <w:ind w:firstLine="389"/>
        <w:jc w:val="both"/>
      </w:pPr>
      <w:r>
        <w:t>The primary source is public Sentinel-2 Level-2A multispectral imagery obtained through a STAC catalogue. The initial geographical scope is a user-defined, limited-size study extent rather than an assertion that all remote regions can be monitored equally. The prototype focuses on changes large enough to influence one or more pixels and is not designed to recognise individual people, inspect private activities or count tents. A geographic holdout and multi-site labels are prerequisites for generalisation claims. Radar imagery, licensed sub-metre imagery, very large-scale automated crawling and operational alert dissemination are outside the initial scope.</w:t>
      </w:r>
    </w:p>
    <w:p>
      <w:pPr>
        <w:pStyle w:val="Heading2"/>
      </w:pPr>
      <w:r>
        <w:t>1.8 Limitations and assumptions</w:t>
      </w:r>
    </w:p>
    <w:p>
      <w:pPr>
        <w:ind w:firstLine="389"/>
        <w:jc w:val="both"/>
      </w:pPr>
      <w:r>
        <w:t>Persistent clouds, haze, illumination differences, mixed pixels, agricultural cycles and misregistration may cause incorrect signals. A single pair of scenes may miss short-lived settlements or create false change flags. The initial pixel-cluster approach is a baseline, not a learned settlement detector. It assumes that a relevant physical change produces some detectable spectral or spatial signature, an assumption that may fail for small or camouflaged shelters. Ground-truth labels may be incomplete, delayed or ethically difficult to collect, and a claimed discovery date can only be bounded by image acquisition dates.</w:t>
      </w:r>
    </w:p>
    <w:p>
      <w:pPr>
        <w:pStyle w:val="Heading2"/>
      </w:pPr>
      <w:r>
        <w:t>1.9 Operational definition of terms</w:t>
      </w:r>
    </w:p>
    <w:p>
      <w:pPr>
        <w:ind w:firstLine="389"/>
        <w:jc w:val="both"/>
      </w:pPr>
      <w:r>
        <w:rPr>
          <w:b/>
        </w:rPr>
        <w:t>Temporary settlement:</w:t>
      </w:r>
      <w:r>
        <w:t xml:space="preserve"> an area occupied by shelter structures for a limited or uncertain period; its status requires contextual evidence beyond spectral imagery. </w:t>
      </w:r>
      <w:r>
        <w:rPr>
          <w:b/>
        </w:rPr>
        <w:t>Change detection:</w:t>
      </w:r>
      <w:r>
        <w:t xml:space="preserve"> identification of differences between geospatial observations at distinct dates. </w:t>
      </w:r>
      <w:r>
        <w:rPr>
          <w:b/>
        </w:rPr>
        <w:t>Candidate polygon:</w:t>
      </w:r>
      <w:r>
        <w:t xml:space="preserve"> a machine-produced area of possible change, requiring review. </w:t>
      </w:r>
      <w:r>
        <w:rPr>
          <w:b/>
        </w:rPr>
        <w:t>Ground truth:</w:t>
      </w:r>
      <w:r>
        <w:t xml:space="preserve"> independent evidence used to assign reference labels. </w:t>
      </w:r>
      <w:r>
        <w:rPr>
          <w:b/>
        </w:rPr>
        <w:t>False positive:</w:t>
      </w:r>
      <w:r>
        <w:t xml:space="preserve"> a nonsettlement landscape change incorrectly predicted as a settlement. </w:t>
      </w:r>
      <w:r>
        <w:rPr>
          <w:b/>
        </w:rPr>
        <w:t>STAC:</w:t>
      </w:r>
      <w:r>
        <w:t xml:space="preserve"> SpatioTemporal Asset Catalog, a standardized interface for discovering geospatial assets. </w:t>
      </w:r>
      <w:r>
        <w:rPr>
          <w:b/>
        </w:rPr>
        <w:t>NDVI:</w:t>
      </w:r>
      <w:r>
        <w:t xml:space="preserve"> normalized difference vegetation index. </w:t>
      </w:r>
      <w:r>
        <w:rPr>
          <w:b/>
        </w:rPr>
        <w:t>PostGIS:</w:t>
      </w:r>
      <w:r>
        <w:t xml:space="preserve"> spatial extension of PostgreSQL.</w:t>
      </w:r>
    </w:p>
    <w:p>
      <w:r>
        <w:br w:type="page"/>
      </w:r>
    </w:p>
    <w:p>
      <w:pPr>
        <w:pStyle w:val="Heading1"/>
        <w:jc w:val="center"/>
      </w:pPr>
      <w:r>
        <w:t>CHAPTER TWO: LITERATURE REVIEW</w:t>
      </w:r>
    </w:p>
    <w:p>
      <w:pPr>
        <w:pStyle w:val="Heading2"/>
      </w:pPr>
      <w:r>
        <w:t>2.1 Conceptual review of remote sensing</w:t>
      </w:r>
    </w:p>
    <w:p>
      <w:pPr>
        <w:ind w:firstLine="389"/>
        <w:jc w:val="both"/>
      </w:pPr>
      <w:r>
        <w:t>Remote sensing concerns collecting information about Earth's surface without direct physical contact. Optical satellites record energy across visible, near-infrared and shortwave-infrared spectral ranges; the relative response can help separate vegetation, water, soil and built surfaces. Surface-reflectance imagery provides an important input for temporal analysis, but remains influenced by residual atmospheric artefacts, different acquisition conditions and landscape seasonality. Since an optical pixel can contain several land-cover types, semantic categories should be interpreted at the scale of the sensor rather than assumed to correspond one-to-one with structures on the ground.</w:t>
      </w:r>
    </w:p>
    <w:p>
      <w:pPr>
        <w:pStyle w:val="Heading2"/>
      </w:pPr>
      <w:r>
        <w:t>2.2 Sentinel-2 data and spatial-temporal suitability</w:t>
      </w:r>
    </w:p>
    <w:p>
      <w:pPr>
        <w:ind w:firstLine="389"/>
        <w:jc w:val="both"/>
      </w:pPr>
      <w:r>
        <w:t>Sentinel-2 provides thirteen spectral bands at different ground resolutions; the frequently used visible and near-infrared channels include ten-metre bands, while shortwave-infrared and scene-classification information may require resampling from coarser data (ESA, n.d.). The Earth Search STAC API allows queries by bounding geometry, time and cloud metadata, making systematic data discovery practical (Element 84, n.d.). A nominal five-day revisit does not guarantee five-day usable imagery, particularly in the humid tropics. A well-designed system therefore treats acquisition quality as part of the observation model rather than a cosmetic metadata field.</w:t>
      </w:r>
    </w:p>
    <w:p>
      <w:pPr>
        <w:pStyle w:val="Heading2"/>
      </w:pPr>
      <w:r>
        <w:t>2.3 Temporary settlement signatures and confounders</w:t>
      </w:r>
    </w:p>
    <w:p>
      <w:pPr>
        <w:ind w:firstLine="389"/>
        <w:jc w:val="both"/>
      </w:pPr>
      <w:r>
        <w:t>A developing shelter area may produce vegetation removal, new bare ground, paths, roof-like reflectance and clusters of small structures. The strongest signal depends on shelter material, surface moisture, surrounding vegetation and the spatial density of the development. Agricultural clearing and new construction may create a similar pattern. Seasonal farming compounds can also appear temporary without indicating a displaced population. Accordingly, the target concept should be defined as human-verified physical settlement establishment, while the automated initial task remains candidate change detection. This distinction reduces category errors and supports meaningful evaluation.</w:t>
      </w:r>
    </w:p>
    <w:p>
      <w:pPr>
        <w:pStyle w:val="Heading2"/>
      </w:pPr>
      <w:r>
        <w:t>2.4 Image preprocessing and comparison</w:t>
      </w:r>
    </w:p>
    <w:p>
      <w:pPr>
        <w:ind w:firstLine="389"/>
        <w:jc w:val="both"/>
      </w:pPr>
      <w:r>
        <w:t>Before comparing dates, multi-temporal pixels must represent approximately the same physical locations. Reprojection, grid alignment and careful resampling minimise displacement artefacts. Optical images require cloud and cloud-shadow masks; a single scene-wide cloud percentage cannot guarantee that the selected region is visible. Spectral scale and offset information must be applied consistently. Preferably, before and after images should represent comparable seasons or use robust seasonal composites. The initial prototype uses a common grid and Sentinel scene classification layer, while recognising that a single best-available scene can still be insufficient.</w:t>
      </w:r>
    </w:p>
    <w:p>
      <w:pPr>
        <w:pStyle w:val="Heading2"/>
      </w:pPr>
      <w:r>
        <w:t>2.5 Spectral indices and change features</w:t>
      </w:r>
    </w:p>
    <w:p>
      <w:pPr>
        <w:ind w:firstLine="389"/>
        <w:jc w:val="both"/>
      </w:pPr>
      <w:r>
        <w:t>NDVI estimates vegetation intensity from near-infrared and red reflectance, calculated as (NIR - RED)/(NIR + RED). NDBI compares shortwave-infrared and near-infrared reflectance and often responds to built or dry surfaces. Neither index is a unique physical classifier. A loss of vegetation accompanied by increased visible brightness may indicate clearing and surface exposure, but cannot distinguish an emerging settlement from an agricultural field without additional contextual features. Spatial continuity, shape, proximity and persistence could improve a classifier when used responsibly.</w:t>
      </w:r>
    </w:p>
    <w:p>
      <w:pPr>
        <w:pStyle w:val="Heading2"/>
      </w:pPr>
      <w:r>
        <w:t>2.6 Traditional change detection and computer vision</w:t>
      </w:r>
    </w:p>
    <w:p>
      <w:pPr>
        <w:ind w:firstLine="389"/>
        <w:jc w:val="both"/>
      </w:pPr>
      <w:r>
        <w:t>Traditional approaches include image differencing, thresholding, spectral-index subtraction, change vector analysis and post-classification comparison. These methods can be relatively interpretable and require limited labelled data. Connected-component analysis groups neighbouring changed pixels into candidate objects and suppresses isolated noise. However, fixed thresholds may behave differently across ecological zones. The current design deliberately begins with a transparent rule-based baseline so that research participants can inspect why a feature was flagged before introducing more complex models.</w:t>
      </w:r>
    </w:p>
    <w:p>
      <w:pPr>
        <w:pStyle w:val="Heading2"/>
      </w:pPr>
      <w:r>
        <w:t>2.7 Supervised machine learning and deep learning</w:t>
      </w:r>
    </w:p>
    <w:p>
      <w:pPr>
        <w:ind w:firstLine="389"/>
        <w:jc w:val="both"/>
      </w:pPr>
      <w:r>
        <w:t>Random forests combine many decision trees and can model nonlinear feature interactions while remaining feasible on tabular spectral/spatial features (Breiman, 2001). Deep architectures such as U-Net offer pixelwise segmentation with spatial context, but require sufficient high-quality labelled training images and computational resources (Ronneberger et al., 2015). Recent remote-sensing reviews describe an expanding family of single-stream, dual-stream and multimodal change detection models, alongside challenges in class imbalance, sparse training labels and cross-region generalisation ("Deep Learning-Based Change Detection in Remote Sensing," 2025). A supervised model should be added only once the research has reliable labels; a model file alone is not evidence of learning or suitability.</w:t>
      </w:r>
    </w:p>
    <w:p>
      <w:pPr>
        <w:pStyle w:val="Heading2"/>
      </w:pPr>
      <w:r>
        <w:t>2.8 Accuracy assessment and generalisation</w:t>
      </w:r>
    </w:p>
    <w:p>
      <w:pPr>
        <w:ind w:firstLine="389"/>
        <w:jc w:val="both"/>
      </w:pPr>
      <w:r>
        <w:t>Precision estimates the proportion of predicted candidates that are correct, while recall measures the proportion of true targets found. F1 balances precision and recall. Spatial segmentation requires object overlap measures, commonly intersection-over-union, and clearly specified correspondence rules. Ordinary random splitting can leak nearby pixels from the same scene into both training and test data, exaggerating scores. A geographic or site-based split is therefore preferred, with a separate external-region evaluation when resources permit. Confusion matrices should be stratified by season, cloud conditions, environmental context and target area size (Congalton &amp; Green, 2019).</w:t>
      </w:r>
    </w:p>
    <w:p>
      <w:pPr>
        <w:pStyle w:val="Heading2"/>
      </w:pPr>
      <w:r>
        <w:t>2.9 Human review and ethical geospatial intelligence</w:t>
      </w:r>
    </w:p>
    <w:p>
      <w:pPr>
        <w:ind w:firstLine="389"/>
        <w:jc w:val="both"/>
      </w:pPr>
      <w:r>
        <w:t>A remote-sensing algorithm detects patterns, not intentions or legal classifications. Human reviewers should examine multi-date imagery, independent ground evidence when safe and the plausible alternative explanations for each signal. Sensitive settlement locations should be protected from indiscriminate publication. The revised OCHA data responsibility guidelines provide a relevant ethical reference for minimising potential harms from handling humanitarian operational data (OCHA, 2025). Technical evaluation and harm assessment should jointly determine whether, to whom and at what geographical resolution output can be disclosed.</w:t>
      </w:r>
    </w:p>
    <w:p>
      <w:pPr>
        <w:pStyle w:val="Heading2"/>
      </w:pPr>
      <w:r>
        <w:t>2.10 Review of related studies and research gap</w:t>
      </w:r>
    </w:p>
    <w:p>
      <w:pPr>
        <w:ind w:firstLine="389"/>
        <w:jc w:val="both"/>
      </w:pPr>
      <w:r>
        <w:t>The reviewed 2024 cross-domain survey stresses geometric registration, heterogeneous data conditions and model transfer problems; the 2025 deep-learning review adds modern architectures and the difficulty of reliable labels. Together these point to a central unresolved practical gap: open tools may detect land-cover change, but an accessible end-to-end system is still needed that combines documented inputs, interpretable baseline reasoning, optional supervised learning, spatially independent validation and explicit human verification before any claim of temporary settlement presence. This study addresses that integration gap rather than claiming to invent new satellite sensors or a state-of-the-art model.</w:t>
      </w:r>
    </w:p>
    <w:p>
      <w:pPr>
        <w:pStyle w:val="Heading2"/>
      </w:pPr>
      <w:r>
        <w:t>2.11 Theoretical and conceptual framework</w:t>
      </w:r>
    </w:p>
    <w:p>
      <w:pPr>
        <w:ind w:firstLine="389"/>
        <w:jc w:val="both"/>
      </w:pPr>
      <w:r>
        <w:t>The framework draws on spectral-change theory and supervised pattern recognition. Inputs are two cloud-screened, co-registered multispectral images. The intermediate representation consists of vegetation change, brightness change, built-up index change and object geometry. The baseline rule produces unverified polygons. A trained model, if labels permit, may rank or classify those polygons. Human evidence forms the final decision layer. Error analysis feeds revisions to the feature set, thresholds, label protocol and user interface. This layered approach formalises uncertainty instead of hiding it behind a single label.</w:t>
      </w:r>
    </w:p>
    <w:p>
      <w:r>
        <w:br w:type="page"/>
      </w:r>
    </w:p>
    <w:p>
      <w:pPr>
        <w:pStyle w:val="Heading1"/>
        <w:jc w:val="center"/>
      </w:pPr>
      <w:r>
        <w:t>CHAPTER THREE: RESEARCH METHODOLOGY</w:t>
      </w:r>
    </w:p>
    <w:p>
      <w:pPr>
        <w:pStyle w:val="Heading2"/>
      </w:pPr>
      <w:r>
        <w:t>3.1 Research design</w:t>
      </w:r>
    </w:p>
    <w:p>
      <w:pPr>
        <w:ind w:firstLine="389"/>
        <w:jc w:val="both"/>
      </w:pPr>
      <w:r>
        <w:t>The study employs design science and experimental evaluation. Design science guides the creation of an operational artefact comprising a web dashboard, image-processing worker, PostGIS database and documentation. The experimental component evaluates whether computer vision and machine learning distinguish new settlement-like changes from other land-cover processes. A staged methodology is necessary because implementation correctness can be established with synthetic unit tests, while scientific validity requires independent reference labels.</w:t>
      </w:r>
    </w:p>
    <w:p>
      <w:pPr>
        <w:pStyle w:val="Heading2"/>
      </w:pPr>
      <w:r>
        <w:t>3.2 Study area selection</w:t>
      </w:r>
    </w:p>
    <w:p>
      <w:pPr>
        <w:ind w:firstLine="389"/>
        <w:jc w:val="both"/>
      </w:pPr>
      <w:r>
        <w:t>Select several geographically separated remote study regions with varied vegetation density, terrain, seasonal patterns and land-use activities. The final geographic coordinates will be recorded in a protected research register after ethical review and source validation. Each area must have suitable multi-date imagery and, ideally, independent corroboration of known development or nondevelopment. Oversampling easily visible positive examples must be avoided because it would create an unrealistic test distribution. No private coordinate disclosure is necessary in a publicly released proposal.</w:t>
      </w:r>
    </w:p>
    <w:p>
      <w:pPr>
        <w:pStyle w:val="Heading2"/>
      </w:pPr>
      <w:r>
        <w:t>3.3 Data sources and acquisition</w:t>
      </w:r>
    </w:p>
    <w:p>
      <w:pPr>
        <w:ind w:firstLine="389"/>
        <w:jc w:val="both"/>
      </w:pPr>
      <w:r>
        <w:t>Primary imagery is Sentinel-2 Collection 1 Level-2A from the public Earth Search STAC index. The pipeline requests scenes intersecting a WGS84 bounding box over two defined temporal windows; it records identifiers, acquisition dates, platform and scene cloud cover. The least cloudy available scene meeting required band availability is selected for the prototype. Required bands are blue, green, red, near-infrared, SWIR16 and Scene Classification Layer. Independent reference sources may include authorized field observations, trusted existing maps, high-resolution orthophotos where licensed, or expert-verified multi-date interpretation. Source ownership, date and licence must be logged.</w:t>
      </w:r>
    </w:p>
    <w:p>
      <w:pPr>
        <w:pStyle w:val="Heading2"/>
      </w:pPr>
      <w:r>
        <w:t>3.4 Data preparation and quality assurance</w:t>
      </w:r>
    </w:p>
    <w:p>
      <w:pPr>
        <w:ind w:firstLine="389"/>
        <w:jc w:val="both"/>
      </w:pPr>
      <w:r>
        <w:t>Convert the requested WGS84 bounds into a common projected processing grid and resample all bands consistently. Scale Sentinel values using asset metadata where present. Mask clouds and problematic classification classes with the SCL layer and exclude invalid pixels. Require sufficient shared valid pixels across both dates, with a preliminary stop threshold of 30%. The final analysis must prefer locally appropriate UTM projections for area measurement; Web Mercator is acceptable only as a documented near-equatorial prototype approximation. Use seasonally comparable observations to reduce pseudo-change and flag any differing acquisition conditions.</w:t>
      </w:r>
    </w:p>
    <w:p>
      <w:pPr>
        <w:pStyle w:val="Heading2"/>
      </w:pPr>
      <w:r>
        <w:t>3.5 Feature extraction and baseline computer vision</w:t>
      </w:r>
    </w:p>
    <w:p>
      <w:pPr>
        <w:ind w:firstLine="389"/>
        <w:jc w:val="both"/>
      </w:pPr>
      <w:r>
        <w:t>Compute before and after NDVI and NDBI values plus average visible reflectance. For each pixel, define vegetation loss as max(0, NDVI_before - NDVI_after), brightness gain as max(0, brightness_after - brightness_before), and NDBI gain analogously. The baseline marks a pixel changed when NDVI loss is at least 0.22, after-date NDVI is below 0.50, and either brightness gain is at least 0.035 or NDBI gain is at least 0.08. Connected-component labelling groups adjacent changed pixels; clusters smaller than nine pixels are excluded. These thresholds are engineering defaults awaiting validation, not evidence-based universal values. Each polygon receives a heuristic ranking score and must remain unverified.</w:t>
      </w:r>
    </w:p>
    <w:p>
      <w:pPr>
        <w:pStyle w:val="Heading2"/>
      </w:pPr>
      <w:r>
        <w:t>3.6 Supervised learning extension</w:t>
      </w:r>
    </w:p>
    <w:p>
      <w:pPr>
        <w:ind w:firstLine="389"/>
        <w:jc w:val="both"/>
      </w:pPr>
      <w:r>
        <w:t>Construct a labelled table of vegetation loss, brightness gain, built-up index change and after-date vegetation state for multiple independent sites. Labels should be assigned by at least two qualified reviewers using a written rubric. Resolve disagreements by documented adjudication. Partition by area identifier, keeping all observations from one geographic site in a single split. Begin with a random forest baseline using class weighting and report train/test sizes, confusion matrix, per-class precision/recall/F1 and geographical holdout details. Only if enough spatially detailed ground truth exists should a segmentation network such as a Siamese U-Net be considered. The current repository provides a training script, not a pretrained or field-validated settlement model.</w:t>
      </w:r>
    </w:p>
    <w:p>
      <w:pPr>
        <w:pStyle w:val="Heading2"/>
      </w:pPr>
      <w:r>
        <w:t>3.7 Software development methodology</w:t>
      </w:r>
    </w:p>
    <w:p>
      <w:pPr>
        <w:ind w:firstLine="389"/>
        <w:jc w:val="both"/>
      </w:pPr>
      <w:r>
        <w:t>Use incremental development with version-controlled source and testing. The Vercel frontend handles interactive scene search, AOI selection, connection diagnostics, protected candidate listing and human review. The Python worker performs computational image operations outside web requests. Aiven PostgreSQL/PostGIS stores polygon geometry, areas, provenance, review state and audit metadata. An idempotent SQL migration creates the required application tables. A script prompts for environment-specific credentials without committing secrets, and a manual CI workflow can process user-supplied AOIs under controlled repository permissions.</w:t>
      </w:r>
    </w:p>
    <w:p>
      <w:pPr>
        <w:pStyle w:val="Heading2"/>
      </w:pPr>
      <w:r>
        <w:t>3.8 Evaluation design and statistical analysis</w:t>
      </w:r>
    </w:p>
    <w:p>
      <w:pPr>
        <w:ind w:firstLine="389"/>
        <w:jc w:val="both"/>
      </w:pPr>
      <w:r>
        <w:t>First establish software correctness through unit tests on known synthetic inputs: unchanged images should return no candidate; severe cloud masks should suppress detection; vegetation loss combined with surface exposure should produce candidate polygons; undersized clusters should be excluded. Next complete integration and end-to-end tests using actual imagery and Aiven. For science evaluation, compile a held-out gold-standard site set, calculate TP/FP/FN/TN and precision, recall, F1, IoU and false-alert density, then compare the baseline to the supervised model using matched held-out areas. Provide confidence intervals and error examples. Determine acceptable practical thresholds with stakeholders before any operational use. Report missing labels or unsupported statistics explicitly instead of estimating them.</w:t>
      </w:r>
    </w:p>
    <w:p>
      <w:pPr>
        <w:pStyle w:val="Heading2"/>
      </w:pPr>
      <w:r>
        <w:t>3.9 Ethical safeguards</w:t>
      </w:r>
    </w:p>
    <w:p>
      <w:pPr>
        <w:ind w:firstLine="389"/>
        <w:jc w:val="both"/>
      </w:pPr>
      <w:r>
        <w:t>Candidate locations are potentially sensitive even when imagery is public. The web API requires authentication to access precise polygons. Researchers must assess whether generating or sharing coordinates creates risks for vulnerable people. Results should not disclose the location of displaced persons or be used for individual identification, punitive monitoring or targeting. Publish aggregated accuracy metrics and sufficiently generalized examples where possible. Data access, retention and sharing policies should comply with applicable institutional ethics review and relevant OCHA guidance (2025).</w:t>
      </w:r>
    </w:p>
    <w:p>
      <w:pPr>
        <w:pStyle w:val="Heading2"/>
      </w:pPr>
      <w:r>
        <w:t>3.10 Validity, reliability and reproducibility</w:t>
      </w:r>
    </w:p>
    <w:p>
      <w:pPr>
        <w:ind w:firstLine="389"/>
        <w:jc w:val="both"/>
      </w:pPr>
      <w:r>
        <w:t>Internal validity is threatened by scene misalignment, cloud artefacts and circular ground-truth interpretation. External validity is threatened by ecological transfer, different shelter materials and underrepresentation of small developments. Construct validity is threatened when a spectral change is equated with a settlement. Reproducibility therefore requires source scene IDs, software version, thresholds, AOI geometry, projection, labelled protocol and all exclusions to accompany each run. Interpretation shall differentiate 'change', 'candidate settlement-like change' and 'verified settlement' at every stage.</w:t>
      </w:r>
    </w:p>
    <w:p>
      <w:pPr>
        <w:pStyle w:val="Heading2"/>
      </w:pPr>
      <w:r>
        <w:t>3.11 Work plan and expected deliverables</w:t>
      </w:r>
    </w:p>
    <w:p>
      <w:pPr>
        <w:ind w:firstLine="389"/>
        <w:jc w:val="both"/>
      </w:pPr>
      <w:r>
        <w:t>Phase 1: define study areas, obtain ethics approval where necessary, and assemble source catalog. Phase 2: implement preprocessing, change masks and GeoJSON export. Phase 3: deploy the dashboard and PostGIS workflow. Phase 4: establish independent labels, train the optional model and evaluate against held-out sites. Phase 5: document the results, limitations and final report. Deliverables comprise source code, configuration scripts, requirements/design/database/testing/operations documents, a chapters 1–3 proposal, a chapters 1–5 report, and reproducible validation assets. Uncompleted phases must be labelled as such.</w:t>
      </w:r>
    </w:p>
    <w:p>
      <w:r>
        <w:br w:type="page"/>
      </w:r>
    </w:p>
    <w:p>
      <w:pPr>
        <w:pStyle w:val="Heading1"/>
        <w:jc w:val="center"/>
      </w:pPr>
      <w:r>
        <w:t>REFERENCES</w:t>
      </w:r>
    </w:p>
    <w:p>
      <w:pPr>
        <w:ind w:hanging="360" w:left="360"/>
        <w:jc w:val="both"/>
      </w:pPr>
      <w:r>
        <w:t xml:space="preserve">Breiman, L. (2001). Random forests. </w:t>
      </w:r>
      <w:r>
        <w:rPr>
          <w:i/>
        </w:rPr>
        <w:t>Machine Learning, 45</w:t>
      </w:r>
      <w:r>
        <w:t>, 5–32. https://doi.org/10.1023/A:1010933404324</w:t>
      </w:r>
    </w:p>
    <w:p>
      <w:pPr>
        <w:ind w:hanging="360" w:left="360"/>
        <w:jc w:val="both"/>
      </w:pPr>
      <w:r>
        <w:t xml:space="preserve">Change detection with cross-domain remote sensing images: A systematic review. (2024). </w:t>
      </w:r>
      <w:r>
        <w:rPr>
          <w:i/>
        </w:rPr>
        <w:t>IEEE Journal of Selected Topics in Applied Earth Observations and Remote Sensing, 17</w:t>
      </w:r>
      <w:r>
        <w:t>, 11563–11582. https://doi.org/10.1109/JSTARS.2024.3416183</w:t>
      </w:r>
    </w:p>
    <w:p>
      <w:pPr>
        <w:ind w:hanging="360" w:left="360"/>
        <w:jc w:val="both"/>
      </w:pPr>
      <w:r>
        <w:t xml:space="preserve">Congalton, R. G., &amp; Green, K. (2019). </w:t>
      </w:r>
      <w:r>
        <w:rPr>
          <w:i/>
        </w:rPr>
        <w:t>Assessing the accuracy of remotely sensed data: Principles and practices</w:t>
      </w:r>
      <w:r>
        <w:t xml:space="preserve"> (3rd ed.). CRC Press.</w:t>
      </w:r>
    </w:p>
    <w:p>
      <w:pPr>
        <w:ind w:hanging="360" w:left="360"/>
        <w:jc w:val="both"/>
      </w:pPr>
      <w:r>
        <w:t xml:space="preserve">Deep learning-based change detection in remote sensing: A comprehensive review. (2025). </w:t>
      </w:r>
      <w:r>
        <w:rPr>
          <w:i/>
        </w:rPr>
        <w:t>IEEE Journal of Selected Topics in Applied Earth Observations and Remote Sensing, 18</w:t>
      </w:r>
      <w:r>
        <w:t>, 24415–24437. https://doi.org/10.1109/JSTARS.2025.3605170</w:t>
      </w:r>
    </w:p>
    <w:p>
      <w:pPr>
        <w:ind w:hanging="360" w:left="360"/>
        <w:jc w:val="both"/>
      </w:pPr>
      <w:r>
        <w:t xml:space="preserve">Element 84. (n.d.). </w:t>
      </w:r>
      <w:r>
        <w:rPr>
          <w:i/>
        </w:rPr>
        <w:t>Earth Search examples</w:t>
      </w:r>
      <w:r>
        <w:t>. https://element84.com/earth-search/examples/</w:t>
      </w:r>
    </w:p>
    <w:p>
      <w:pPr>
        <w:ind w:hanging="360" w:left="360"/>
        <w:jc w:val="both"/>
      </w:pPr>
      <w:r>
        <w:t xml:space="preserve">European Space Agency. (n.d.). </w:t>
      </w:r>
      <w:r>
        <w:rPr>
          <w:i/>
        </w:rPr>
        <w:t>Sentinel-2</w:t>
      </w:r>
      <w:r>
        <w:t>. https://www.esa.int/Applications/Observing_the_Earth/Copernicus/Sentinel-2</w:t>
      </w:r>
    </w:p>
    <w:p>
      <w:pPr>
        <w:ind w:hanging="360" w:left="360"/>
        <w:jc w:val="both"/>
      </w:pPr>
      <w:r>
        <w:t xml:space="preserve">Ronneberger, O., Fischer, P., &amp; Brox, T. (2015). U-Net: Convolutional networks for biomedical image segmentation. In </w:t>
      </w:r>
      <w:r>
        <w:rPr>
          <w:i/>
        </w:rPr>
        <w:t>Medical Image Computing and Computer-Assisted Intervention (MICCAI 2015)</w:t>
      </w:r>
      <w:r>
        <w:t xml:space="preserve"> (pp. 234–241). Springer. https://doi.org/10.1007/978-3-319-24574-4_28</w:t>
      </w:r>
    </w:p>
    <w:p>
      <w:pPr>
        <w:ind w:hanging="360" w:left="360"/>
        <w:jc w:val="both"/>
      </w:pPr>
      <w:r>
        <w:t xml:space="preserve">United Nations Office for the Coordination of Humanitarian Affairs. (2025, February 20). </w:t>
      </w:r>
      <w:r>
        <w:rPr>
          <w:i/>
        </w:rPr>
        <w:t>Revised OCHA data responsibility guidelines</w:t>
      </w:r>
      <w:r>
        <w:t>. https://centre.humdata.org/revised-ocha-data-responsibility-guidelines/</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ACADEMIC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Times New Roman" w:hAnsi="Times New Roman"/>
      <w:color w:val="26324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Times New Roman" w:hAnsi="Times New Roman"/>
      <w:b/>
      <w:bCs/>
      <w:color w:val="1A2531"/>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A2531"/>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A25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