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0D4550"/>
          <w:sz w:val="36"/>
        </w:rPr>
        <w:t>Database Design and Data Dictionary</w:t>
      </w:r>
    </w:p>
    <w:p>
      <w:pPr>
        <w:spacing w:before="200"/>
        <w:jc w:val="center"/>
      </w:pPr>
      <w:r>
        <w:rPr>
          <w:sz w:val="22"/>
        </w:rPr>
        <w:t>Remote Settlement Change Detection System (RSCDS)</w:t>
      </w:r>
    </w:p>
    <w:p>
      <w:pPr>
        <w:spacing w:before="200"/>
        <w:jc w:val="center"/>
      </w:pPr>
      <w:r>
        <w:rPr>
          <w:sz w:val="22"/>
        </w:rPr>
        <w:t>Version: 1.0</w:t>
      </w:r>
    </w:p>
    <w:p>
      <w:pPr>
        <w:spacing w:before="200"/>
        <w:jc w:val="center"/>
      </w:pPr>
      <w:r>
        <w:rPr>
          <w:sz w:val="22"/>
        </w:rPr>
        <w:t>Database: Aiven PostgreSQL 18 with PostGIS</w:t>
      </w:r>
    </w:p>
    <w:p>
      <w:pPr>
        <w:spacing w:before="500"/>
        <w:jc w:val="center"/>
      </w:pPr>
      <w:r>
        <w:rPr>
          <w:b/>
        </w:rPr>
        <w:t>RELEASE DOCUMENTATION • OCTOBER 2026</w:t>
      </w:r>
    </w:p>
    <w:p>
      <w:r>
        <w:br w:type="page"/>
      </w:r>
    </w:p>
    <w:p>
      <w:pPr>
        <w:pStyle w:val="Heading2"/>
      </w:pPr>
      <w:r>
        <w:t>1. Logical design and isolation</w:t>
      </w:r>
    </w:p>
    <w:p>
      <w:pPr>
        <w:jc w:val="both"/>
      </w:pPr>
      <w:r>
        <w:t>The initial relational model has two application-specific tables in schema rscds. This isolation avoids collisions with other applications on the same PostgreSQL instance. The design is intentionally minimal. Imagery assets are not stored as BLOBs in a 1 GB free-tier database; the service retains lightweight polygon geometry, scores, provenance and reviews. CREATE EXTENSION IF NOT EXISTS postgis supplies spatial functions and geometry types.</w:t>
      </w:r>
    </w:p>
    <w:p>
      <w:pPr>
        <w:pStyle w:val="Heading2"/>
      </w:pPr>
      <w:r>
        <w:t>2. Entity definitions</w:t>
      </w:r>
    </w:p>
    <w:p>
      <w:pPr>
        <w:jc w:val="both"/>
      </w:pPr>
      <w:r>
        <w:rPr>
          <w:b/>
        </w:rPr>
        <w:t>Entity A: rscds.study_areas.</w:t>
      </w:r>
      <w:r>
        <w:t xml:space="preserve"> An AOI is a labelled WGS84 polygon and includes an is_sensitive flag. One study area may have several detection runs in the future (proposed relationship; not yet represented as a foreign key in v0.1).</w:t>
      </w:r>
    </w:p>
    <w:p>
      <w:pPr>
        <w:jc w:val="both"/>
      </w:pPr>
      <w:r>
        <w:rPr>
          <w:b/>
        </w:rPr>
        <w:t>Entity B: rscds.detections.</w:t>
      </w:r>
      <w:r>
        <w:t xml:space="preserve"> A candidate polygon captures one observed cluster of changed land cover with source metadata and human review state. Multiple features may derive from one pair of Sentinel scenes. Every record begins with unverified status, and review columns are filled only after an explicit review action.</w:t>
      </w:r>
    </w:p>
    <w:p>
      <w:pPr>
        <w:pStyle w:val="Heading2"/>
      </w:pPr>
      <w:r>
        <w:t>3. Data dictionary: study areas</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239"/>
            <w:vAlign w:val="center"/>
            <w:shd w:fill="DCEEF0"/>
          </w:tcPr>
          <w:p>
            <w:pPr>
              <w:spacing w:after="40" w:line="240" w:lineRule="auto"/>
            </w:pPr>
            <w:r>
              <w:rPr>
                <w:b/>
                <w:sz w:val="16"/>
              </w:rPr>
              <w:t>Column</w:t>
            </w:r>
          </w:p>
        </w:tc>
        <w:tc>
          <w:tcPr>
            <w:tcW w:type="dxa" w:w="2239"/>
            <w:vAlign w:val="center"/>
            <w:shd w:fill="DCEEF0"/>
          </w:tcPr>
          <w:p>
            <w:pPr>
              <w:spacing w:after="40" w:line="240" w:lineRule="auto"/>
            </w:pPr>
            <w:r>
              <w:rPr>
                <w:b/>
                <w:sz w:val="16"/>
              </w:rPr>
              <w:t>Type</w:t>
            </w:r>
          </w:p>
        </w:tc>
        <w:tc>
          <w:tcPr>
            <w:tcW w:type="dxa" w:w="2239"/>
            <w:vAlign w:val="center"/>
            <w:shd w:fill="DCEEF0"/>
          </w:tcPr>
          <w:p>
            <w:pPr>
              <w:spacing w:after="40" w:line="240" w:lineRule="auto"/>
            </w:pPr>
            <w:r>
              <w:rPr>
                <w:b/>
                <w:sz w:val="16"/>
              </w:rPr>
              <w:t>Constraint</w:t>
            </w:r>
          </w:p>
        </w:tc>
        <w:tc>
          <w:tcPr>
            <w:tcW w:type="dxa" w:w="2239"/>
            <w:vAlign w:val="center"/>
            <w:shd w:fill="DCEEF0"/>
          </w:tcPr>
          <w:p>
            <w:pPr>
              <w:spacing w:after="40" w:line="240" w:lineRule="auto"/>
            </w:pPr>
            <w:r>
              <w:rPr>
                <w:b/>
                <w:sz w:val="16"/>
              </w:rPr>
              <w:t>Meaning</w:t>
            </w:r>
          </w:p>
        </w:tc>
      </w:tr>
      <w:tr>
        <w:tc>
          <w:tcPr>
            <w:tcW w:type="dxa" w:w="2239"/>
            <w:vAlign w:val="center"/>
          </w:tcPr>
          <w:p>
            <w:pPr>
              <w:spacing w:after="40" w:line="240" w:lineRule="auto"/>
            </w:pPr>
            <w:r>
              <w:rPr>
                <w:sz w:val="16"/>
              </w:rPr>
              <w:t>id</w:t>
            </w:r>
          </w:p>
        </w:tc>
        <w:tc>
          <w:tcPr>
            <w:tcW w:type="dxa" w:w="2239"/>
            <w:vAlign w:val="center"/>
          </w:tcPr>
          <w:p>
            <w:pPr>
              <w:spacing w:after="40" w:line="240" w:lineRule="auto"/>
            </w:pPr>
            <w:r>
              <w:rPr>
                <w:sz w:val="16"/>
              </w:rPr>
              <w:t>BIGSERIAL</w:t>
            </w:r>
          </w:p>
        </w:tc>
        <w:tc>
          <w:tcPr>
            <w:tcW w:type="dxa" w:w="2239"/>
            <w:vAlign w:val="center"/>
          </w:tcPr>
          <w:p>
            <w:pPr>
              <w:spacing w:after="40" w:line="240" w:lineRule="auto"/>
            </w:pPr>
            <w:r>
              <w:rPr>
                <w:sz w:val="16"/>
              </w:rPr>
              <w:t>Primary key</w:t>
            </w:r>
          </w:p>
        </w:tc>
        <w:tc>
          <w:tcPr>
            <w:tcW w:type="dxa" w:w="2239"/>
            <w:vAlign w:val="center"/>
          </w:tcPr>
          <w:p>
            <w:pPr>
              <w:spacing w:after="40" w:line="240" w:lineRule="auto"/>
            </w:pPr>
            <w:r>
              <w:rPr>
                <w:sz w:val="16"/>
              </w:rPr>
              <w:t>Stable internal identifier</w:t>
            </w:r>
          </w:p>
        </w:tc>
      </w:tr>
      <w:tr>
        <w:tc>
          <w:tcPr>
            <w:tcW w:type="dxa" w:w="2239"/>
            <w:vAlign w:val="center"/>
          </w:tcPr>
          <w:p>
            <w:pPr>
              <w:spacing w:after="40" w:line="240" w:lineRule="auto"/>
            </w:pPr>
            <w:r>
              <w:rPr>
                <w:sz w:val="16"/>
              </w:rPr>
              <w:t>name</w:t>
            </w:r>
          </w:p>
        </w:tc>
        <w:tc>
          <w:tcPr>
            <w:tcW w:type="dxa" w:w="2239"/>
            <w:vAlign w:val="center"/>
          </w:tcPr>
          <w:p>
            <w:pPr>
              <w:spacing w:after="40" w:line="240" w:lineRule="auto"/>
            </w:pPr>
            <w:r>
              <w:rPr>
                <w:sz w:val="16"/>
              </w:rPr>
              <w:t>TEXT</w:t>
            </w:r>
          </w:p>
        </w:tc>
        <w:tc>
          <w:tcPr>
            <w:tcW w:type="dxa" w:w="2239"/>
            <w:vAlign w:val="center"/>
          </w:tcPr>
          <w:p>
            <w:pPr>
              <w:spacing w:after="40" w:line="240" w:lineRule="auto"/>
            </w:pPr>
            <w:r>
              <w:rPr>
                <w:sz w:val="16"/>
              </w:rPr>
              <w:t>Not null</w:t>
            </w:r>
          </w:p>
        </w:tc>
        <w:tc>
          <w:tcPr>
            <w:tcW w:type="dxa" w:w="2239"/>
            <w:vAlign w:val="center"/>
          </w:tcPr>
          <w:p>
            <w:pPr>
              <w:spacing w:after="40" w:line="240" w:lineRule="auto"/>
            </w:pPr>
            <w:r>
              <w:rPr>
                <w:sz w:val="16"/>
              </w:rPr>
              <w:t>Human-readable research area label</w:t>
            </w:r>
          </w:p>
        </w:tc>
      </w:tr>
      <w:tr>
        <w:tc>
          <w:tcPr>
            <w:tcW w:type="dxa" w:w="2239"/>
            <w:vAlign w:val="center"/>
          </w:tcPr>
          <w:p>
            <w:pPr>
              <w:spacing w:after="40" w:line="240" w:lineRule="auto"/>
            </w:pPr>
            <w:r>
              <w:rPr>
                <w:sz w:val="16"/>
              </w:rPr>
              <w:t>geom</w:t>
            </w:r>
          </w:p>
        </w:tc>
        <w:tc>
          <w:tcPr>
            <w:tcW w:type="dxa" w:w="2239"/>
            <w:vAlign w:val="center"/>
          </w:tcPr>
          <w:p>
            <w:pPr>
              <w:spacing w:after="40" w:line="240" w:lineRule="auto"/>
            </w:pPr>
            <w:r>
              <w:rPr>
                <w:sz w:val="16"/>
              </w:rPr>
              <w:t>geometry(Polygon,4326)</w:t>
            </w:r>
          </w:p>
        </w:tc>
        <w:tc>
          <w:tcPr>
            <w:tcW w:type="dxa" w:w="2239"/>
            <w:vAlign w:val="center"/>
          </w:tcPr>
          <w:p>
            <w:pPr>
              <w:spacing w:after="40" w:line="240" w:lineRule="auto"/>
            </w:pPr>
            <w:r>
              <w:rPr>
                <w:sz w:val="16"/>
              </w:rPr>
              <w:t>Not null</w:t>
            </w:r>
          </w:p>
        </w:tc>
        <w:tc>
          <w:tcPr>
            <w:tcW w:type="dxa" w:w="2239"/>
            <w:vAlign w:val="center"/>
          </w:tcPr>
          <w:p>
            <w:pPr>
              <w:spacing w:after="40" w:line="240" w:lineRule="auto"/>
            </w:pPr>
            <w:r>
              <w:rPr>
                <w:sz w:val="16"/>
              </w:rPr>
              <w:t>WGS84 area polygon</w:t>
            </w:r>
          </w:p>
        </w:tc>
      </w:tr>
      <w:tr>
        <w:tc>
          <w:tcPr>
            <w:tcW w:type="dxa" w:w="2239"/>
            <w:vAlign w:val="center"/>
          </w:tcPr>
          <w:p>
            <w:pPr>
              <w:spacing w:after="40" w:line="240" w:lineRule="auto"/>
            </w:pPr>
            <w:r>
              <w:rPr>
                <w:sz w:val="16"/>
              </w:rPr>
              <w:t>is_sensitive</w:t>
            </w:r>
          </w:p>
        </w:tc>
        <w:tc>
          <w:tcPr>
            <w:tcW w:type="dxa" w:w="2239"/>
            <w:vAlign w:val="center"/>
          </w:tcPr>
          <w:p>
            <w:pPr>
              <w:spacing w:after="40" w:line="240" w:lineRule="auto"/>
            </w:pPr>
            <w:r>
              <w:rPr>
                <w:sz w:val="16"/>
              </w:rPr>
              <w:t>BOOLEAN</w:t>
            </w:r>
          </w:p>
        </w:tc>
        <w:tc>
          <w:tcPr>
            <w:tcW w:type="dxa" w:w="2239"/>
            <w:vAlign w:val="center"/>
          </w:tcPr>
          <w:p>
            <w:pPr>
              <w:spacing w:after="40" w:line="240" w:lineRule="auto"/>
            </w:pPr>
            <w:r>
              <w:rPr>
                <w:sz w:val="16"/>
              </w:rPr>
              <w:t>Default true</w:t>
            </w:r>
          </w:p>
        </w:tc>
        <w:tc>
          <w:tcPr>
            <w:tcW w:type="dxa" w:w="2239"/>
            <w:vAlign w:val="center"/>
          </w:tcPr>
          <w:p>
            <w:pPr>
              <w:spacing w:after="40" w:line="240" w:lineRule="auto"/>
            </w:pPr>
            <w:r>
              <w:rPr>
                <w:sz w:val="16"/>
              </w:rPr>
              <w:t>Controls conservative sharing policy</w:t>
            </w:r>
          </w:p>
        </w:tc>
      </w:tr>
      <w:tr>
        <w:tc>
          <w:tcPr>
            <w:tcW w:type="dxa" w:w="2239"/>
            <w:vAlign w:val="center"/>
          </w:tcPr>
          <w:p>
            <w:pPr>
              <w:spacing w:after="40" w:line="240" w:lineRule="auto"/>
            </w:pPr>
            <w:r>
              <w:rPr>
                <w:sz w:val="16"/>
              </w:rPr>
              <w:t>created_at</w:t>
            </w:r>
          </w:p>
        </w:tc>
        <w:tc>
          <w:tcPr>
            <w:tcW w:type="dxa" w:w="2239"/>
            <w:vAlign w:val="center"/>
          </w:tcPr>
          <w:p>
            <w:pPr>
              <w:spacing w:after="40" w:line="240" w:lineRule="auto"/>
            </w:pPr>
            <w:r>
              <w:rPr>
                <w:sz w:val="16"/>
              </w:rPr>
              <w:t>TIMESTAMPTZ</w:t>
            </w:r>
          </w:p>
        </w:tc>
        <w:tc>
          <w:tcPr>
            <w:tcW w:type="dxa" w:w="2239"/>
            <w:vAlign w:val="center"/>
          </w:tcPr>
          <w:p>
            <w:pPr>
              <w:spacing w:after="40" w:line="240" w:lineRule="auto"/>
            </w:pPr>
            <w:r>
              <w:rPr>
                <w:sz w:val="16"/>
              </w:rPr>
              <w:t>Default now()</w:t>
            </w:r>
          </w:p>
        </w:tc>
        <w:tc>
          <w:tcPr>
            <w:tcW w:type="dxa" w:w="2239"/>
            <w:vAlign w:val="center"/>
          </w:tcPr>
          <w:p>
            <w:pPr>
              <w:spacing w:after="40" w:line="240" w:lineRule="auto"/>
            </w:pPr>
            <w:r>
              <w:rPr>
                <w:sz w:val="16"/>
              </w:rPr>
              <w:t>Time of registration</w:t>
            </w:r>
          </w:p>
        </w:tc>
      </w:tr>
    </w:tbl>
    <w:p>
      <w:pPr>
        <w:spacing w:after="40"/>
      </w:pPr>
    </w:p>
    <w:p>
      <w:pPr>
        <w:pStyle w:val="Heading2"/>
      </w:pPr>
      <w:r>
        <w:t>4. Data dictionary: detections</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239"/>
            <w:vAlign w:val="center"/>
            <w:shd w:fill="DCEEF0"/>
          </w:tcPr>
          <w:p>
            <w:pPr>
              <w:spacing w:after="40" w:line="240" w:lineRule="auto"/>
            </w:pPr>
            <w:r>
              <w:rPr>
                <w:b/>
                <w:sz w:val="16"/>
              </w:rPr>
              <w:t>Column</w:t>
            </w:r>
          </w:p>
        </w:tc>
        <w:tc>
          <w:tcPr>
            <w:tcW w:type="dxa" w:w="2239"/>
            <w:vAlign w:val="center"/>
            <w:shd w:fill="DCEEF0"/>
          </w:tcPr>
          <w:p>
            <w:pPr>
              <w:spacing w:after="40" w:line="240" w:lineRule="auto"/>
            </w:pPr>
            <w:r>
              <w:rPr>
                <w:b/>
                <w:sz w:val="16"/>
              </w:rPr>
              <w:t>Type</w:t>
            </w:r>
          </w:p>
        </w:tc>
        <w:tc>
          <w:tcPr>
            <w:tcW w:type="dxa" w:w="2239"/>
            <w:vAlign w:val="center"/>
            <w:shd w:fill="DCEEF0"/>
          </w:tcPr>
          <w:p>
            <w:pPr>
              <w:spacing w:after="40" w:line="240" w:lineRule="auto"/>
            </w:pPr>
            <w:r>
              <w:rPr>
                <w:b/>
                <w:sz w:val="16"/>
              </w:rPr>
              <w:t>Constraint</w:t>
            </w:r>
          </w:p>
        </w:tc>
        <w:tc>
          <w:tcPr>
            <w:tcW w:type="dxa" w:w="2239"/>
            <w:vAlign w:val="center"/>
            <w:shd w:fill="DCEEF0"/>
          </w:tcPr>
          <w:p>
            <w:pPr>
              <w:spacing w:after="40" w:line="240" w:lineRule="auto"/>
            </w:pPr>
            <w:r>
              <w:rPr>
                <w:b/>
                <w:sz w:val="16"/>
              </w:rPr>
              <w:t>Meaning</w:t>
            </w:r>
          </w:p>
        </w:tc>
      </w:tr>
      <w:tr>
        <w:tc>
          <w:tcPr>
            <w:tcW w:type="dxa" w:w="2239"/>
            <w:vAlign w:val="center"/>
          </w:tcPr>
          <w:p>
            <w:pPr>
              <w:spacing w:after="40" w:line="240" w:lineRule="auto"/>
            </w:pPr>
            <w:r>
              <w:rPr>
                <w:sz w:val="16"/>
              </w:rPr>
              <w:t>id</w:t>
            </w:r>
          </w:p>
        </w:tc>
        <w:tc>
          <w:tcPr>
            <w:tcW w:type="dxa" w:w="2239"/>
            <w:vAlign w:val="center"/>
          </w:tcPr>
          <w:p>
            <w:pPr>
              <w:spacing w:after="40" w:line="240" w:lineRule="auto"/>
            </w:pPr>
            <w:r>
              <w:rPr>
                <w:sz w:val="16"/>
              </w:rPr>
              <w:t>BIGSERIAL</w:t>
            </w:r>
          </w:p>
        </w:tc>
        <w:tc>
          <w:tcPr>
            <w:tcW w:type="dxa" w:w="2239"/>
            <w:vAlign w:val="center"/>
          </w:tcPr>
          <w:p>
            <w:pPr>
              <w:spacing w:after="40" w:line="240" w:lineRule="auto"/>
            </w:pPr>
            <w:r>
              <w:rPr>
                <w:sz w:val="16"/>
              </w:rPr>
              <w:t>Primary key</w:t>
            </w:r>
          </w:p>
        </w:tc>
        <w:tc>
          <w:tcPr>
            <w:tcW w:type="dxa" w:w="2239"/>
            <w:vAlign w:val="center"/>
          </w:tcPr>
          <w:p>
            <w:pPr>
              <w:spacing w:after="40" w:line="240" w:lineRule="auto"/>
            </w:pPr>
            <w:r>
              <w:rPr>
                <w:sz w:val="16"/>
              </w:rPr>
              <w:t>Internal candidate ID</w:t>
            </w:r>
          </w:p>
        </w:tc>
      </w:tr>
      <w:tr>
        <w:tc>
          <w:tcPr>
            <w:tcW w:type="dxa" w:w="2239"/>
            <w:vAlign w:val="center"/>
          </w:tcPr>
          <w:p>
            <w:pPr>
              <w:spacing w:after="40" w:line="240" w:lineRule="auto"/>
            </w:pPr>
            <w:r>
              <w:rPr>
                <w:sz w:val="16"/>
              </w:rPr>
              <w:t>site_label</w:t>
            </w:r>
          </w:p>
        </w:tc>
        <w:tc>
          <w:tcPr>
            <w:tcW w:type="dxa" w:w="2239"/>
            <w:vAlign w:val="center"/>
          </w:tcPr>
          <w:p>
            <w:pPr>
              <w:spacing w:after="40" w:line="240" w:lineRule="auto"/>
            </w:pPr>
            <w:r>
              <w:rPr>
                <w:sz w:val="16"/>
              </w:rPr>
              <w:t>VARCHAR(120)</w:t>
            </w:r>
          </w:p>
        </w:tc>
        <w:tc>
          <w:tcPr>
            <w:tcW w:type="dxa" w:w="2239"/>
            <w:vAlign w:val="center"/>
          </w:tcPr>
          <w:p>
            <w:pPr>
              <w:spacing w:after="40" w:line="240" w:lineRule="auto"/>
            </w:pPr>
            <w:r>
              <w:rPr>
                <w:sz w:val="16"/>
              </w:rPr>
              <w:t>Not null</w:t>
            </w:r>
          </w:p>
        </w:tc>
        <w:tc>
          <w:tcPr>
            <w:tcW w:type="dxa" w:w="2239"/>
            <w:vAlign w:val="center"/>
          </w:tcPr>
          <w:p>
            <w:pPr>
              <w:spacing w:after="40" w:line="240" w:lineRule="auto"/>
            </w:pPr>
            <w:r>
              <w:rPr>
                <w:sz w:val="16"/>
              </w:rPr>
              <w:t>Neutral label, not settlement confirmation</w:t>
            </w:r>
          </w:p>
        </w:tc>
      </w:tr>
      <w:tr>
        <w:tc>
          <w:tcPr>
            <w:tcW w:type="dxa" w:w="2239"/>
            <w:vAlign w:val="center"/>
          </w:tcPr>
          <w:p>
            <w:pPr>
              <w:spacing w:after="40" w:line="240" w:lineRule="auto"/>
            </w:pPr>
            <w:r>
              <w:rPr>
                <w:sz w:val="16"/>
              </w:rPr>
              <w:t>geom</w:t>
            </w:r>
          </w:p>
        </w:tc>
        <w:tc>
          <w:tcPr>
            <w:tcW w:type="dxa" w:w="2239"/>
            <w:vAlign w:val="center"/>
          </w:tcPr>
          <w:p>
            <w:pPr>
              <w:spacing w:after="40" w:line="240" w:lineRule="auto"/>
            </w:pPr>
            <w:r>
              <w:rPr>
                <w:sz w:val="16"/>
              </w:rPr>
              <w:t>geometry(Geometry,4326)</w:t>
            </w:r>
          </w:p>
        </w:tc>
        <w:tc>
          <w:tcPr>
            <w:tcW w:type="dxa" w:w="2239"/>
            <w:vAlign w:val="center"/>
          </w:tcPr>
          <w:p>
            <w:pPr>
              <w:spacing w:after="40" w:line="240" w:lineRule="auto"/>
            </w:pPr>
            <w:r>
              <w:rPr>
                <w:sz w:val="16"/>
              </w:rPr>
              <w:t>Not null</w:t>
            </w:r>
          </w:p>
        </w:tc>
        <w:tc>
          <w:tcPr>
            <w:tcW w:type="dxa" w:w="2239"/>
            <w:vAlign w:val="center"/>
          </w:tcPr>
          <w:p>
            <w:pPr>
              <w:spacing w:after="40" w:line="240" w:lineRule="auto"/>
            </w:pPr>
            <w:r>
              <w:rPr>
                <w:sz w:val="16"/>
              </w:rPr>
              <w:t>Polygon or multipolygon candidate geometry</w:t>
            </w:r>
          </w:p>
        </w:tc>
      </w:tr>
      <w:tr>
        <w:tc>
          <w:tcPr>
            <w:tcW w:type="dxa" w:w="2239"/>
            <w:vAlign w:val="center"/>
          </w:tcPr>
          <w:p>
            <w:pPr>
              <w:spacing w:after="40" w:line="240" w:lineRule="auto"/>
            </w:pPr>
            <w:r>
              <w:rPr>
                <w:sz w:val="16"/>
              </w:rPr>
              <w:t>area_m2</w:t>
            </w:r>
          </w:p>
        </w:tc>
        <w:tc>
          <w:tcPr>
            <w:tcW w:type="dxa" w:w="2239"/>
            <w:vAlign w:val="center"/>
          </w:tcPr>
          <w:p>
            <w:pPr>
              <w:spacing w:after="40" w:line="240" w:lineRule="auto"/>
            </w:pPr>
            <w:r>
              <w:rPr>
                <w:sz w:val="16"/>
              </w:rPr>
              <w:t>FLOAT8</w:t>
            </w:r>
          </w:p>
        </w:tc>
        <w:tc>
          <w:tcPr>
            <w:tcW w:type="dxa" w:w="2239"/>
            <w:vAlign w:val="center"/>
          </w:tcPr>
          <w:p>
            <w:pPr>
              <w:spacing w:after="40" w:line="240" w:lineRule="auto"/>
            </w:pPr>
            <w:r>
              <w:rPr>
                <w:sz w:val="16"/>
              </w:rPr>
              <w:t>Greater than 0</w:t>
            </w:r>
          </w:p>
        </w:tc>
        <w:tc>
          <w:tcPr>
            <w:tcW w:type="dxa" w:w="2239"/>
            <w:vAlign w:val="center"/>
          </w:tcPr>
          <w:p>
            <w:pPr>
              <w:spacing w:after="40" w:line="240" w:lineRule="auto"/>
            </w:pPr>
            <w:r>
              <w:rPr>
                <w:sz w:val="16"/>
              </w:rPr>
              <w:t>Approximate area of changed object</w:t>
            </w:r>
          </w:p>
        </w:tc>
      </w:tr>
      <w:tr>
        <w:tc>
          <w:tcPr>
            <w:tcW w:type="dxa" w:w="2239"/>
            <w:vAlign w:val="center"/>
          </w:tcPr>
          <w:p>
            <w:pPr>
              <w:spacing w:after="40" w:line="240" w:lineRule="auto"/>
            </w:pPr>
            <w:r>
              <w:rPr>
                <w:sz w:val="16"/>
              </w:rPr>
              <w:t>score</w:t>
            </w:r>
          </w:p>
        </w:tc>
        <w:tc>
          <w:tcPr>
            <w:tcW w:type="dxa" w:w="2239"/>
            <w:vAlign w:val="center"/>
          </w:tcPr>
          <w:p>
            <w:pPr>
              <w:spacing w:after="40" w:line="240" w:lineRule="auto"/>
            </w:pPr>
            <w:r>
              <w:rPr>
                <w:sz w:val="16"/>
              </w:rPr>
              <w:t>FLOAT8</w:t>
            </w:r>
          </w:p>
        </w:tc>
        <w:tc>
          <w:tcPr>
            <w:tcW w:type="dxa" w:w="2239"/>
            <w:vAlign w:val="center"/>
          </w:tcPr>
          <w:p>
            <w:pPr>
              <w:spacing w:after="40" w:line="240" w:lineRule="auto"/>
            </w:pPr>
            <w:r>
              <w:rPr>
                <w:sz w:val="16"/>
              </w:rPr>
              <w:t>0 to 1</w:t>
            </w:r>
          </w:p>
        </w:tc>
        <w:tc>
          <w:tcPr>
            <w:tcW w:type="dxa" w:w="2239"/>
            <w:vAlign w:val="center"/>
          </w:tcPr>
          <w:p>
            <w:pPr>
              <w:spacing w:after="40" w:line="240" w:lineRule="auto"/>
            </w:pPr>
            <w:r>
              <w:rPr>
                <w:sz w:val="16"/>
              </w:rPr>
              <w:t>Uncalibrated candidate ranking score</w:t>
            </w:r>
          </w:p>
        </w:tc>
      </w:tr>
      <w:tr>
        <w:tc>
          <w:tcPr>
            <w:tcW w:type="dxa" w:w="2239"/>
            <w:vAlign w:val="center"/>
          </w:tcPr>
          <w:p>
            <w:pPr>
              <w:spacing w:after="40" w:line="240" w:lineRule="auto"/>
            </w:pPr>
            <w:r>
              <w:rPr>
                <w:sz w:val="16"/>
              </w:rPr>
              <w:t>source</w:t>
            </w:r>
          </w:p>
        </w:tc>
        <w:tc>
          <w:tcPr>
            <w:tcW w:type="dxa" w:w="2239"/>
            <w:vAlign w:val="center"/>
          </w:tcPr>
          <w:p>
            <w:pPr>
              <w:spacing w:after="40" w:line="240" w:lineRule="auto"/>
            </w:pPr>
            <w:r>
              <w:rPr>
                <w:sz w:val="16"/>
              </w:rPr>
              <w:t>TEXT</w:t>
            </w:r>
          </w:p>
        </w:tc>
        <w:tc>
          <w:tcPr>
            <w:tcW w:type="dxa" w:w="2239"/>
            <w:vAlign w:val="center"/>
          </w:tcPr>
          <w:p>
            <w:pPr>
              <w:spacing w:after="40" w:line="240" w:lineRule="auto"/>
            </w:pPr>
            <w:r>
              <w:rPr>
                <w:sz w:val="16"/>
              </w:rPr>
              <w:t>Not null</w:t>
            </w:r>
          </w:p>
        </w:tc>
        <w:tc>
          <w:tcPr>
            <w:tcW w:type="dxa" w:w="2239"/>
            <w:vAlign w:val="center"/>
          </w:tcPr>
          <w:p>
            <w:pPr>
              <w:spacing w:after="40" w:line="240" w:lineRule="auto"/>
            </w:pPr>
            <w:r>
              <w:rPr>
                <w:sz w:val="16"/>
              </w:rPr>
              <w:t>Collection/catalog provenance</w:t>
            </w:r>
          </w:p>
        </w:tc>
      </w:tr>
      <w:tr>
        <w:tc>
          <w:tcPr>
            <w:tcW w:type="dxa" w:w="2239"/>
            <w:vAlign w:val="center"/>
          </w:tcPr>
          <w:p>
            <w:pPr>
              <w:spacing w:after="40" w:line="240" w:lineRule="auto"/>
            </w:pPr>
            <w:r>
              <w:rPr>
                <w:sz w:val="16"/>
              </w:rPr>
              <w:t>scene_before</w:t>
            </w:r>
          </w:p>
        </w:tc>
        <w:tc>
          <w:tcPr>
            <w:tcW w:type="dxa" w:w="2239"/>
            <w:vAlign w:val="center"/>
          </w:tcPr>
          <w:p>
            <w:pPr>
              <w:spacing w:after="40" w:line="240" w:lineRule="auto"/>
            </w:pPr>
            <w:r>
              <w:rPr>
                <w:sz w:val="16"/>
              </w:rPr>
              <w:t>TEXT</w:t>
            </w:r>
          </w:p>
        </w:tc>
        <w:tc>
          <w:tcPr>
            <w:tcW w:type="dxa" w:w="2239"/>
            <w:vAlign w:val="center"/>
          </w:tcPr>
          <w:p>
            <w:pPr>
              <w:spacing w:after="40" w:line="240" w:lineRule="auto"/>
            </w:pPr>
            <w:r>
              <w:rPr>
                <w:sz w:val="16"/>
              </w:rPr>
              <w:t>Nullable</w:t>
            </w:r>
          </w:p>
        </w:tc>
        <w:tc>
          <w:tcPr>
            <w:tcW w:type="dxa" w:w="2239"/>
            <w:vAlign w:val="center"/>
          </w:tcPr>
          <w:p>
            <w:pPr>
              <w:spacing w:after="40" w:line="240" w:lineRule="auto"/>
            </w:pPr>
            <w:r>
              <w:rPr>
                <w:sz w:val="16"/>
              </w:rPr>
              <w:t>Baseline STAC scene identifier</w:t>
            </w:r>
          </w:p>
        </w:tc>
      </w:tr>
      <w:tr>
        <w:tc>
          <w:tcPr>
            <w:tcW w:type="dxa" w:w="2239"/>
            <w:vAlign w:val="center"/>
          </w:tcPr>
          <w:p>
            <w:pPr>
              <w:spacing w:after="40" w:line="240" w:lineRule="auto"/>
            </w:pPr>
            <w:r>
              <w:rPr>
                <w:sz w:val="16"/>
              </w:rPr>
              <w:t>scene_after</w:t>
            </w:r>
          </w:p>
        </w:tc>
        <w:tc>
          <w:tcPr>
            <w:tcW w:type="dxa" w:w="2239"/>
            <w:vAlign w:val="center"/>
          </w:tcPr>
          <w:p>
            <w:pPr>
              <w:spacing w:after="40" w:line="240" w:lineRule="auto"/>
            </w:pPr>
            <w:r>
              <w:rPr>
                <w:sz w:val="16"/>
              </w:rPr>
              <w:t>TEXT</w:t>
            </w:r>
          </w:p>
        </w:tc>
        <w:tc>
          <w:tcPr>
            <w:tcW w:type="dxa" w:w="2239"/>
            <w:vAlign w:val="center"/>
          </w:tcPr>
          <w:p>
            <w:pPr>
              <w:spacing w:after="40" w:line="240" w:lineRule="auto"/>
            </w:pPr>
            <w:r>
              <w:rPr>
                <w:sz w:val="16"/>
              </w:rPr>
              <w:t>Nullable</w:t>
            </w:r>
          </w:p>
        </w:tc>
        <w:tc>
          <w:tcPr>
            <w:tcW w:type="dxa" w:w="2239"/>
            <w:vAlign w:val="center"/>
          </w:tcPr>
          <w:p>
            <w:pPr>
              <w:spacing w:after="40" w:line="240" w:lineRule="auto"/>
            </w:pPr>
            <w:r>
              <w:rPr>
                <w:sz w:val="16"/>
              </w:rPr>
              <w:t>Comparison STAC scene identifier</w:t>
            </w:r>
          </w:p>
        </w:tc>
      </w:tr>
      <w:tr>
        <w:tc>
          <w:tcPr>
            <w:tcW w:type="dxa" w:w="2239"/>
            <w:vAlign w:val="center"/>
          </w:tcPr>
          <w:p>
            <w:pPr>
              <w:spacing w:after="40" w:line="240" w:lineRule="auto"/>
            </w:pPr>
            <w:r>
              <w:rPr>
                <w:sz w:val="16"/>
              </w:rPr>
              <w:t>review_status</w:t>
            </w:r>
          </w:p>
        </w:tc>
        <w:tc>
          <w:tcPr>
            <w:tcW w:type="dxa" w:w="2239"/>
            <w:vAlign w:val="center"/>
          </w:tcPr>
          <w:p>
            <w:pPr>
              <w:spacing w:after="40" w:line="240" w:lineRule="auto"/>
            </w:pPr>
            <w:r>
              <w:rPr>
                <w:sz w:val="16"/>
              </w:rPr>
              <w:t>TEXT</w:t>
            </w:r>
          </w:p>
        </w:tc>
        <w:tc>
          <w:tcPr>
            <w:tcW w:type="dxa" w:w="2239"/>
            <w:vAlign w:val="center"/>
          </w:tcPr>
          <w:p>
            <w:pPr>
              <w:spacing w:after="40" w:line="240" w:lineRule="auto"/>
            </w:pPr>
            <w:r>
              <w:rPr>
                <w:sz w:val="16"/>
              </w:rPr>
              <w:t>unverified/verified/rejected</w:t>
            </w:r>
          </w:p>
        </w:tc>
        <w:tc>
          <w:tcPr>
            <w:tcW w:type="dxa" w:w="2239"/>
            <w:vAlign w:val="center"/>
          </w:tcPr>
          <w:p>
            <w:pPr>
              <w:spacing w:after="40" w:line="240" w:lineRule="auto"/>
            </w:pPr>
            <w:r>
              <w:rPr>
                <w:sz w:val="16"/>
              </w:rPr>
              <w:t>Verification state</w:t>
            </w:r>
          </w:p>
        </w:tc>
      </w:tr>
      <w:tr>
        <w:tc>
          <w:tcPr>
            <w:tcW w:type="dxa" w:w="2239"/>
            <w:vAlign w:val="center"/>
          </w:tcPr>
          <w:p>
            <w:pPr>
              <w:spacing w:after="40" w:line="240" w:lineRule="auto"/>
            </w:pPr>
            <w:r>
              <w:rPr>
                <w:sz w:val="16"/>
              </w:rPr>
              <w:t>reviewer</w:t>
            </w:r>
          </w:p>
        </w:tc>
        <w:tc>
          <w:tcPr>
            <w:tcW w:type="dxa" w:w="2239"/>
            <w:vAlign w:val="center"/>
          </w:tcPr>
          <w:p>
            <w:pPr>
              <w:spacing w:after="40" w:line="240" w:lineRule="auto"/>
            </w:pPr>
            <w:r>
              <w:rPr>
                <w:sz w:val="16"/>
              </w:rPr>
              <w:t>VARCHAR(120)</w:t>
            </w:r>
          </w:p>
        </w:tc>
        <w:tc>
          <w:tcPr>
            <w:tcW w:type="dxa" w:w="2239"/>
            <w:vAlign w:val="center"/>
          </w:tcPr>
          <w:p>
            <w:pPr>
              <w:spacing w:after="40" w:line="240" w:lineRule="auto"/>
            </w:pPr>
            <w:r>
              <w:rPr>
                <w:sz w:val="16"/>
              </w:rPr>
              <w:t>Nullable</w:t>
            </w:r>
          </w:p>
        </w:tc>
        <w:tc>
          <w:tcPr>
            <w:tcW w:type="dxa" w:w="2239"/>
            <w:vAlign w:val="center"/>
          </w:tcPr>
          <w:p>
            <w:pPr>
              <w:spacing w:after="40" w:line="240" w:lineRule="auto"/>
            </w:pPr>
            <w:r>
              <w:rPr>
                <w:sz w:val="16"/>
              </w:rPr>
              <w:t>Reviewing analyst</w:t>
            </w:r>
          </w:p>
        </w:tc>
      </w:tr>
      <w:tr>
        <w:tc>
          <w:tcPr>
            <w:tcW w:type="dxa" w:w="2239"/>
            <w:vAlign w:val="center"/>
          </w:tcPr>
          <w:p>
            <w:pPr>
              <w:spacing w:after="40" w:line="240" w:lineRule="auto"/>
            </w:pPr>
            <w:r>
              <w:rPr>
                <w:sz w:val="16"/>
              </w:rPr>
              <w:t>review_notes</w:t>
            </w:r>
          </w:p>
        </w:tc>
        <w:tc>
          <w:tcPr>
            <w:tcW w:type="dxa" w:w="2239"/>
            <w:vAlign w:val="center"/>
          </w:tcPr>
          <w:p>
            <w:pPr>
              <w:spacing w:after="40" w:line="240" w:lineRule="auto"/>
            </w:pPr>
            <w:r>
              <w:rPr>
                <w:sz w:val="16"/>
              </w:rPr>
              <w:t>TEXT</w:t>
            </w:r>
          </w:p>
        </w:tc>
        <w:tc>
          <w:tcPr>
            <w:tcW w:type="dxa" w:w="2239"/>
            <w:vAlign w:val="center"/>
          </w:tcPr>
          <w:p>
            <w:pPr>
              <w:spacing w:after="40" w:line="240" w:lineRule="auto"/>
            </w:pPr>
            <w:r>
              <w:rPr>
                <w:sz w:val="16"/>
              </w:rPr>
              <w:t>Nullable</w:t>
            </w:r>
          </w:p>
        </w:tc>
        <w:tc>
          <w:tcPr>
            <w:tcW w:type="dxa" w:w="2239"/>
            <w:vAlign w:val="center"/>
          </w:tcPr>
          <w:p>
            <w:pPr>
              <w:spacing w:after="40" w:line="240" w:lineRule="auto"/>
            </w:pPr>
            <w:r>
              <w:rPr>
                <w:sz w:val="16"/>
              </w:rPr>
              <w:t>Evidence and rationale</w:t>
            </w:r>
          </w:p>
        </w:tc>
      </w:tr>
      <w:tr>
        <w:tc>
          <w:tcPr>
            <w:tcW w:type="dxa" w:w="2239"/>
            <w:vAlign w:val="center"/>
          </w:tcPr>
          <w:p>
            <w:pPr>
              <w:spacing w:after="40" w:line="240" w:lineRule="auto"/>
            </w:pPr>
            <w:r>
              <w:rPr>
                <w:sz w:val="16"/>
              </w:rPr>
              <w:t>reviewed_at</w:t>
            </w:r>
          </w:p>
        </w:tc>
        <w:tc>
          <w:tcPr>
            <w:tcW w:type="dxa" w:w="2239"/>
            <w:vAlign w:val="center"/>
          </w:tcPr>
          <w:p>
            <w:pPr>
              <w:spacing w:after="40" w:line="240" w:lineRule="auto"/>
            </w:pPr>
            <w:r>
              <w:rPr>
                <w:sz w:val="16"/>
              </w:rPr>
              <w:t>TIMESTAMPTZ</w:t>
            </w:r>
          </w:p>
        </w:tc>
        <w:tc>
          <w:tcPr>
            <w:tcW w:type="dxa" w:w="2239"/>
            <w:vAlign w:val="center"/>
          </w:tcPr>
          <w:p>
            <w:pPr>
              <w:spacing w:after="40" w:line="240" w:lineRule="auto"/>
            </w:pPr>
            <w:r>
              <w:rPr>
                <w:sz w:val="16"/>
              </w:rPr>
              <w:t>Nullable</w:t>
            </w:r>
          </w:p>
        </w:tc>
        <w:tc>
          <w:tcPr>
            <w:tcW w:type="dxa" w:w="2239"/>
            <w:vAlign w:val="center"/>
          </w:tcPr>
          <w:p>
            <w:pPr>
              <w:spacing w:after="40" w:line="240" w:lineRule="auto"/>
            </w:pPr>
            <w:r>
              <w:rPr>
                <w:sz w:val="16"/>
              </w:rPr>
              <w:t>Review timestamp</w:t>
            </w:r>
          </w:p>
        </w:tc>
      </w:tr>
      <w:tr>
        <w:tc>
          <w:tcPr>
            <w:tcW w:type="dxa" w:w="2239"/>
            <w:vAlign w:val="center"/>
          </w:tcPr>
          <w:p>
            <w:pPr>
              <w:spacing w:after="40" w:line="240" w:lineRule="auto"/>
            </w:pPr>
            <w:r>
              <w:rPr>
                <w:sz w:val="16"/>
              </w:rPr>
              <w:t>created_at</w:t>
            </w:r>
          </w:p>
        </w:tc>
        <w:tc>
          <w:tcPr>
            <w:tcW w:type="dxa" w:w="2239"/>
            <w:vAlign w:val="center"/>
          </w:tcPr>
          <w:p>
            <w:pPr>
              <w:spacing w:after="40" w:line="240" w:lineRule="auto"/>
            </w:pPr>
            <w:r>
              <w:rPr>
                <w:sz w:val="16"/>
              </w:rPr>
              <w:t>TIMESTAMPTZ</w:t>
            </w:r>
          </w:p>
        </w:tc>
        <w:tc>
          <w:tcPr>
            <w:tcW w:type="dxa" w:w="2239"/>
            <w:vAlign w:val="center"/>
          </w:tcPr>
          <w:p>
            <w:pPr>
              <w:spacing w:after="40" w:line="240" w:lineRule="auto"/>
            </w:pPr>
            <w:r>
              <w:rPr>
                <w:sz w:val="16"/>
              </w:rPr>
              <w:t>Default now()</w:t>
            </w:r>
          </w:p>
        </w:tc>
        <w:tc>
          <w:tcPr>
            <w:tcW w:type="dxa" w:w="2239"/>
            <w:vAlign w:val="center"/>
          </w:tcPr>
          <w:p>
            <w:pPr>
              <w:spacing w:after="40" w:line="240" w:lineRule="auto"/>
            </w:pPr>
            <w:r>
              <w:rPr>
                <w:sz w:val="16"/>
              </w:rPr>
              <w:t>Import timestamp</w:t>
            </w:r>
          </w:p>
        </w:tc>
      </w:tr>
    </w:tbl>
    <w:p>
      <w:pPr>
        <w:spacing w:after="40"/>
      </w:pPr>
    </w:p>
    <w:p>
      <w:pPr>
        <w:pStyle w:val="Heading2"/>
      </w:pPr>
      <w:r>
        <w:t>5. Spatial indexes and SQL examples</w:t>
      </w:r>
    </w:p>
    <w:p>
      <w:pPr>
        <w:jc w:val="both"/>
      </w:pPr>
      <w:r>
        <w:t>rscds_geom_idx is a GiST index on candidate geometry. rscds_study_geom_idx indexes study areas. rscds_review_idx supports private review-queue queries. Use parameterized SQL from the application rather than constructing statements with user input. Geospatial queries should set an explicit projected metric CRS for accurate measurements outside near-equatorial test locations.</w:t>
      </w:r>
    </w:p>
    <w:p>
      <w:pPr>
        <w:pStyle w:val="Heading2"/>
      </w:pPr>
      <w:r>
        <w:t>6. Integrity and migrations</w:t>
      </w:r>
    </w:p>
    <w:p>
      <w:pPr>
        <w:jc w:val="both"/>
      </w:pPr>
      <w:r>
        <w:t>The scripts/schema.sql migration is idempotent and creates no global application tables. API imports require valid GeoJSON FeatureCollections with at most 100 features per request; inputs are subject to PostGIS geometry parsing. The application rejects any incoming record that claims verified status. A database administrator should apply a least-privilege user to this schema and keep connection strings in environment variables, never GitHub.</w:t>
      </w:r>
    </w:p>
    <w:p>
      <w:pPr>
        <w:pStyle w:val="Heading2"/>
      </w:pPr>
      <w:r>
        <w:t>7. Backup, retention and capacity planning</w:t>
      </w:r>
    </w:p>
    <w:p>
      <w:pPr>
        <w:jc w:val="both"/>
      </w:pPr>
      <w:r>
        <w:t>Confirm Aiven plan backup/retention policy through the service console, because free plans may not provide production-grade recovery. Set a retention period proportionate to research and safeguarding requirements, and avoid saving identifiable or sensitive field evidence in open repositories. The 1 GB tier should be used for metadata and lightweight geometry only, not tiled satellite archives. Larger catalog and annotation data should move to controlled object storage if needed.</w:t>
      </w:r>
    </w:p>
    <w:p>
      <w:pPr>
        <w:pStyle w:val="Heading2"/>
      </w:pPr>
      <w:r>
        <w:t>8. Planned v2 schema</w:t>
      </w:r>
    </w:p>
    <w:p>
      <w:pPr>
        <w:jc w:val="both"/>
      </w:pPr>
      <w:r>
        <w:t>The next normalized iteration should introduce analysis_runs(id,aoi_id,model_version,parameters,created_at), satellite_scenes(id,provider,acquired_at,cloud_cover,stac_url), labels(id,feature_id,label,analyst,evidence_type,created_at), users(id,role,mfa_state) and audit_events(...). Introduce foreign keys and immutable decision history before multi-user operational use.</w:t>
      </w:r>
    </w:p>
    <w:p>
      <w:pPr>
        <w:pStyle w:val="Heading2"/>
      </w:pPr>
      <w:r>
        <w:t>v0.2 provenance and duplicate protection</w:t>
      </w:r>
    </w:p>
    <w:p>
      <w:pPr>
        <w:jc w:val="both"/>
      </w:pPr>
      <w:r>
        <w:t>The rscds.detections.feature_hash column stores a 64-character SHA-256 fingerprint of canonical GeoJSON geometry, source, scene_before and scene_after. A unique index, rscds_feature_hash_idx, suppresses repeat inserts. The migration is idempotent, adding the column if an older table exists. rscds.review_status remains unverified on ingestion. Updating review status applies only to unverified records, requiring independent reviewer notes. The shared Aiven database is not renamed or reset by this script.</w:t>
      </w:r>
    </w:p>
    <w:sectPr w:rsidR="00FC693F" w:rsidRPr="0006063C" w:rsidSect="00034616">
      <w:headerReference w:type="default" r:id="rId9"/>
      <w:footerReference w:type="default" r:id="rId10"/>
      <w:pgSz w:w="11909" w:h="16834"/>
      <w:pgMar w:top="1354" w:right="1296" w:bottom="1195" w:left="1656"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RSCDS •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828C"/>
        <w:sz w:val="16"/>
      </w:rPr>
      <w:t>RSCDS  |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0" w:lineRule="auto" w:after="140"/>
    </w:pPr>
    <w:rPr>
      <w:rFonts w:ascii="Aptos" w:hAnsi="Aptos"/>
      <w:color w:val="2632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w:hAnsi="Aptos"/>
      <w:b/>
      <w:bCs/>
      <w:color w:val="0C4050"/>
      <w:sz w:val="31"/>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w:hAnsi="Aptos"/>
      <w:b/>
      <w:bCs/>
      <w:color w:val="0C405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w:hAnsi="Aptos"/>
      <w:b/>
      <w:bCs/>
      <w:color w:val="0C40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