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黑体"/>
          <w:b/>
          <w:sz w:val="32"/>
        </w:rPr>
        <w:t>面向Z世代的政府环保传播网页设计技术实现</w:t>
      </w:r>
    </w:p>
    <w:p>
      <w:pPr>
        <w:spacing w:before="0" w:after="240"/>
        <w:jc w:val="center"/>
      </w:pPr>
      <w:r>
        <w:rPr>
          <w:rFonts w:ascii="Times New Roman" w:hAnsi="Times New Roman" w:eastAsia="宋体"/>
          <w:sz w:val="28"/>
        </w:rPr>
        <w:t>——以YouthLoop平台为例</w:t>
      </w:r>
    </w:p>
    <w:p>
      <w:pPr>
        <w:spacing w:before="360" w:after="240"/>
        <w:jc w:val="center"/>
      </w:pPr>
      <w:r>
        <w:rPr>
          <w:rFonts w:ascii="Times New Roman" w:hAnsi="Times New Roman" w:eastAsia="黑体"/>
          <w:b/>
          <w:sz w:val="32"/>
        </w:rPr>
        <w:t>面向Z世代的政府环保互动传播网页设计研究</w:t>
      </w:r>
    </w:p>
    <w:p>
      <w:pPr>
        <w:spacing w:before="240" w:after="120"/>
        <w:jc w:val="left"/>
      </w:pPr>
      <w:r>
        <w:rPr>
          <w:rFonts w:ascii="Times New Roman" w:hAnsi="Times New Roman" w:eastAsia="黑体"/>
          <w:b/>
          <w:sz w:val="28"/>
        </w:rPr>
        <w:t>——以YouthLoop青年环保平台为案例</w:t>
      </w:r>
    </w:p>
    <w:p>
      <w:pPr>
        <w:spacing w:before="240" w:after="120"/>
        <w:jc w:val="left"/>
      </w:pPr>
      <w:r>
        <w:rPr>
          <w:rFonts w:ascii="Times New Roman" w:hAnsi="Times New Roman" w:eastAsia="黑体"/>
          <w:b/>
          <w:sz w:val="28"/>
        </w:rPr>
        <w:t>摘要</w:t>
      </w:r>
    </w:p>
    <w:p>
      <w:pPr>
        <w:spacing w:before="0" w:after="120" w:line="440" w:lineRule="exact"/>
        <w:ind w:firstLine="420"/>
        <w:jc w:val="both"/>
      </w:pPr>
      <w:r>
        <w:rPr>
          <w:rFonts w:ascii="Times New Roman" w:hAnsi="Times New Roman" w:eastAsia="宋体"/>
          <w:sz w:val="24"/>
        </w:rPr>
        <w:t>在政府环保传播数字化转型与Z世代成为核心传播受众的双重背景下，互动网页的传播设计价值日益凸显。本研究以YouthLoop青年环保平台为案例，从传播学与交互设计的交叉视角，考察面向Z世代的政府环保互动传播网页在媒介形态适配性、信息架构设计与交互传播机制三个维度上的设计逻辑与传播效能。研究综合运用文献分析法、案例分析法、信息架构分析、启发式评估与认知走查五种方法。由于真实用户行为数据暂不可获取，分析主要依赖专家评估视角。研究发现：基于URL的网页形态在低门槛访问、跨渠道扩散与响应式移动适配方面具有面向Z世代环保传播的结构性优势；平台信息架构以"认知—行动—内化—归属"的递进逻辑引导参与式传播；游戏化机制与微交互设计有效降低了Z世代用户的参与认知成本。与此同时，评估发现平台在注册门槛设计与可访问性完善方面仍存在改进空间。本研究为同类政府环保传播网页的设计实践与学术研究提供了一定的参考框架。</w:t>
      </w:r>
    </w:p>
    <w:p>
      <w:pPr>
        <w:spacing w:before="0" w:after="120" w:line="440" w:lineRule="exact"/>
        <w:ind w:firstLine="420"/>
        <w:jc w:val="both"/>
      </w:pPr>
      <w:r>
        <w:rPr>
          <w:rFonts w:ascii="Times New Roman" w:hAnsi="Times New Roman" w:eastAsia="宋体"/>
          <w:sz w:val="24"/>
        </w:rPr>
        <w:t>关键词：政府环保传播；Z世代；互动网页；信息架构；游戏化设计</w:t>
      </w:r>
    </w:p>
    <w:p>
      <w:pPr>
        <w:spacing w:before="240" w:after="120"/>
        <w:jc w:val="left"/>
      </w:pPr>
      <w:r>
        <w:rPr>
          <w:rFonts w:ascii="Times New Roman" w:hAnsi="Times New Roman" w:eastAsia="黑体"/>
          <w:b/>
          <w:sz w:val="28"/>
        </w:rPr>
        <w:t>第一章 绪论</w:t>
      </w:r>
    </w:p>
    <w:p>
      <w:pPr>
        <w:spacing w:before="120" w:after="60"/>
        <w:jc w:val="left"/>
      </w:pPr>
      <w:r>
        <w:rPr>
          <w:rFonts w:ascii="Times New Roman" w:hAnsi="Times New Roman" w:eastAsia="宋体"/>
          <w:b/>
          <w:sz w:val="24"/>
        </w:rPr>
        <w:t>1.1 研究背景</w:t>
      </w:r>
    </w:p>
    <w:p>
      <w:pPr>
        <w:spacing w:before="0" w:after="120" w:line="440" w:lineRule="exact"/>
        <w:ind w:firstLine="420"/>
        <w:jc w:val="both"/>
      </w:pPr>
      <w:r>
        <w:rPr>
          <w:rFonts w:ascii="Times New Roman" w:hAnsi="Times New Roman" w:eastAsia="宋体"/>
          <w:sz w:val="24"/>
        </w:rPr>
        <w:t>随着数字政府建设的持续推进，政府环保传播正经历从内容导向向技术支撑的互动式传播形态的系统性转变。一方面，气候变化、碳中和等环境议题在政策层面受到高度重视，政府部门对公众环保意识培养与行为动员的传播需求日益迫切；另一方面，Z世代（1995—2009年间出生群体）作为具有高度数字媒介素养的青年群体，正逐步成为政府环保传播的核心目标受众。然而，现有面向公众的环保传播网页多以静态信息发布为主要模式，在交互设计、参与机制与用户体验层面与Z世代的媒介使用期待之间存在显著落差。该群体对即时反馈、视觉化信息与低参与门槛的媒介使用偏好，使传统单向信息传递模式在吸引其主动参与方面愈发力不从心。如何通过互动网页的设计创新，推动政府环保传播由单向告知转向参与式传播，是当前传播学与交互设计领域值得深入探讨的现实问题。</w:t>
      </w:r>
    </w:p>
    <w:p>
      <w:pPr>
        <w:spacing w:before="120" w:after="60"/>
        <w:jc w:val="left"/>
      </w:pPr>
      <w:r>
        <w:rPr>
          <w:rFonts w:ascii="Times New Roman" w:hAnsi="Times New Roman" w:eastAsia="宋体"/>
          <w:b/>
          <w:sz w:val="24"/>
        </w:rPr>
        <w:t>1.2 研究意义</w:t>
      </w:r>
    </w:p>
    <w:p>
      <w:pPr>
        <w:spacing w:before="0" w:after="120" w:line="440" w:lineRule="exact"/>
        <w:ind w:firstLine="420"/>
        <w:jc w:val="both"/>
      </w:pPr>
      <w:r>
        <w:rPr>
          <w:rFonts w:ascii="Times New Roman" w:hAnsi="Times New Roman" w:eastAsia="宋体"/>
          <w:sz w:val="24"/>
        </w:rPr>
        <w:t>在理论层面，本研究尝试将政府环保传播研究、Z世代媒介使用行为研究与互动网页信息架构研究加以整合，从传播学与交互设计的交叉视角考察互动网页的传播设计逻辑，有助于拓展环保传播媒介选择研究的讨论维度，并为游戏化设计在公共传播领域的应用研究提供具体案例支撑。在实践层面，本研究的分析框架与评估方法可为政府机构及相关组织在设计面向Z世代的环保传播网页时提供参考，尤其在信息架构组织、游戏化激励机制设计与可访问性保障等维度上具有一定的实践借鉴价值。</w:t>
      </w:r>
    </w:p>
    <w:p>
      <w:pPr>
        <w:spacing w:before="120" w:after="60"/>
        <w:jc w:val="left"/>
      </w:pPr>
      <w:r>
        <w:rPr>
          <w:rFonts w:ascii="Times New Roman" w:hAnsi="Times New Roman" w:eastAsia="宋体"/>
          <w:b/>
          <w:sz w:val="24"/>
        </w:rPr>
        <w:t>1.3 研究问题与研究思路</w:t>
      </w:r>
    </w:p>
    <w:p>
      <w:pPr>
        <w:spacing w:before="0" w:after="120" w:line="440" w:lineRule="exact"/>
        <w:ind w:firstLine="420"/>
        <w:jc w:val="both"/>
      </w:pPr>
      <w:r>
        <w:rPr>
          <w:rFonts w:ascii="Times New Roman" w:hAnsi="Times New Roman" w:eastAsia="宋体"/>
          <w:sz w:val="24"/>
        </w:rPr>
        <w:t>本研究围绕以下三个核心研究问题展开：其一，在多平台媒介生态中，网页形态相较于APP与小程序在面向Z世代的政府环保传播中具备哪些结构性适配优势；其二，互动网页的信息架构与交互设计如何将单向环保信息传递转化为参与式传播实践；其三，游戏化机制与多模态互动设计如何服务于提升Z世代用户环保参与意愿的传播目标。</w:t>
      </w:r>
    </w:p>
    <w:p>
      <w:pPr>
        <w:spacing w:before="0" w:after="120" w:line="440" w:lineRule="exact"/>
        <w:ind w:firstLine="420"/>
        <w:jc w:val="both"/>
      </w:pPr>
      <w:r>
        <w:rPr>
          <w:rFonts w:ascii="Times New Roman" w:hAnsi="Times New Roman" w:eastAsia="宋体"/>
          <w:sz w:val="24"/>
        </w:rPr>
        <w:t>研究整体遵循"理论建构—媒介形态分析—案例实证—结构化评估"的逻辑推进路径：首先通过文献综述建立分析框架，继而从媒介形态角度论证网页的传播适配性，再以YouthLoop平台为案例对信息架构与交互传播机制展开系统分析，最终通过启发式评估与认知走查对平台设计进行结构化评价。</w:t>
      </w:r>
    </w:p>
    <w:p>
      <w:pPr>
        <w:spacing w:before="120" w:after="60"/>
        <w:jc w:val="left"/>
      </w:pPr>
      <w:r>
        <w:rPr>
          <w:rFonts w:ascii="Times New Roman" w:hAnsi="Times New Roman" w:eastAsia="宋体"/>
          <w:b/>
          <w:sz w:val="24"/>
        </w:rPr>
        <w:t>1.4 论文结构</w:t>
      </w:r>
    </w:p>
    <w:p>
      <w:pPr>
        <w:spacing w:before="0" w:after="120" w:line="440" w:lineRule="exact"/>
        <w:ind w:firstLine="420"/>
        <w:jc w:val="both"/>
      </w:pPr>
      <w:r>
        <w:rPr>
          <w:rFonts w:ascii="Times New Roman" w:hAnsi="Times New Roman" w:eastAsia="宋体"/>
          <w:sz w:val="24"/>
        </w:rPr>
        <w:t>全文共八章。第二章梳理政府环保传播、Z世代媒介使用、参与式传播与游戏化设计等领域的既有研究，建立本研究的理论框架。第三章说明研究对象的选取依据与五种研究方法的操作逻辑。第四章从媒介形态角度比较网页、APP与小程序在传播门槛与扩散能力上的结构性差异。第五章以信息架构分析方法，对YouthLoop平台的站点结构、导航体系与内容分类逻辑进行系统解析。第六章深入分析游戏化机制、微交互设计与社交功能的传播意义及技术支撑逻辑。第七章运用启发式评估与认知走查对平台设计进行结构化评估，归纳优势与改进空间。第八章系统回应研究问题，陈述研究局限，并指出未来研究方向。</w:t>
      </w:r>
    </w:p>
    <w:p>
      <w:pPr>
        <w:spacing w:before="240" w:after="120"/>
        <w:jc w:val="left"/>
      </w:pPr>
      <w:r>
        <w:rPr>
          <w:rFonts w:ascii="Times New Roman" w:hAnsi="Times New Roman" w:eastAsia="黑体"/>
          <w:b/>
          <w:sz w:val="28"/>
        </w:rPr>
        <w:t>第二章 文献综述与理论框架</w:t>
      </w:r>
    </w:p>
    <w:p>
      <w:pPr>
        <w:spacing w:before="120" w:after="60"/>
        <w:jc w:val="left"/>
      </w:pPr>
      <w:r>
        <w:rPr>
          <w:rFonts w:ascii="Times New Roman" w:hAnsi="Times New Roman" w:eastAsia="宋体"/>
          <w:b/>
          <w:sz w:val="24"/>
        </w:rPr>
        <w:t>2.1 政府环保传播的数字化转型</w:t>
      </w:r>
    </w:p>
    <w:p>
      <w:pPr>
        <w:spacing w:before="0" w:after="120" w:line="440" w:lineRule="exact"/>
        <w:ind w:firstLine="420"/>
        <w:jc w:val="both"/>
      </w:pPr>
      <w:r>
        <w:rPr>
          <w:rFonts w:ascii="Times New Roman" w:hAnsi="Times New Roman" w:eastAsia="宋体"/>
          <w:sz w:val="24"/>
        </w:rPr>
        <w:t>政府环保传播是公共传播研究领域的重要议题之一。de Vries（2020）指出，公共传播作为政策工具在环境治理中发挥着引导公众认知、促进行为改变的核心作用，但其效果在很大程度上取决于传播渠道的选择与信息呈现方式。郭进（2020）在梳理公众参与环境治理的逻辑与路径时强调，单向的信息发布模式难以激发公众的实质性参与意愿，亟需向双向互动的参与式传播转型。刘辛与许慧（2024）的研究进一步表明，政务新媒体的引入在一定程度上推动了环境治理效能的提升，但现有研究对面向特定年龄群体的互动网页设计仍关注不足。Fritz等人（2024）亦指出，包容性与可持续性是环境传播公众参与的两大核心标准，这要求传播平台在设计层面充分考虑用户群体的差异化需求。上述研究共同指向一个尚待深入的问题：政府环保传播的学术讨论虽已从宏观政策层面延伸至媒介设计与用户参与机制，但面向Z世代的互动网页设计研究仍存在较大的探索空间。</w:t>
      </w:r>
    </w:p>
    <w:p>
      <w:pPr>
        <w:spacing w:before="120" w:after="60"/>
        <w:jc w:val="left"/>
      </w:pPr>
      <w:r>
        <w:rPr>
          <w:rFonts w:ascii="Times New Roman" w:hAnsi="Times New Roman" w:eastAsia="宋体"/>
          <w:b/>
          <w:sz w:val="24"/>
        </w:rPr>
        <w:t>2.2 Z世代媒介使用行为特征</w:t>
      </w:r>
    </w:p>
    <w:p>
      <w:pPr>
        <w:spacing w:before="0" w:after="120" w:line="440" w:lineRule="exact"/>
        <w:ind w:firstLine="420"/>
        <w:jc w:val="both"/>
      </w:pPr>
      <w:r>
        <w:rPr>
          <w:rFonts w:ascii="Times New Roman" w:hAnsi="Times New Roman" w:eastAsia="宋体"/>
          <w:sz w:val="24"/>
        </w:rPr>
        <w:t>Z世代（通常指1995至2009年间出生的群体）作为伴随移动互联网成长的"数字原住民"，其媒介使用行为呈现出若干区别于前代群体的显著特征。使用与满足理论（Uses and Gratifications Theory）认为，受众对媒介的选择与使用是主动的目标导向行为，受个体需求结构的支配（Katz et al., 1973）。就Z世代而言，其媒介使用需求更突出地表现为对即时反馈、视觉化信息与低参与门槛的偏好。Liang等人（2024）的研究发现，政府社交媒体对Z世代低碳行为参与的促进效果，在很大程度上依赖于平台互动功能的设计质量，而非内容的专业深度。这一发现提示，面向Z世代的环保传播平台需在交互设计层面给予充分重视，通过降低认知负担与操作门槛，提升该群体主动参与环保议题的意愿。</w:t>
      </w:r>
    </w:p>
    <w:p>
      <w:pPr>
        <w:spacing w:before="120" w:after="60"/>
        <w:jc w:val="left"/>
      </w:pPr>
      <w:r>
        <w:rPr>
          <w:rFonts w:ascii="Times New Roman" w:hAnsi="Times New Roman" w:eastAsia="宋体"/>
          <w:b/>
          <w:sz w:val="24"/>
        </w:rPr>
        <w:t>2.3 互动网页与参与式传播</w:t>
      </w:r>
    </w:p>
    <w:p>
      <w:pPr>
        <w:spacing w:before="0" w:after="120" w:line="440" w:lineRule="exact"/>
        <w:ind w:firstLine="420"/>
        <w:jc w:val="both"/>
      </w:pPr>
      <w:r>
        <w:rPr>
          <w:rFonts w:ascii="Times New Roman" w:hAnsi="Times New Roman" w:eastAsia="宋体"/>
          <w:sz w:val="24"/>
        </w:rPr>
        <w:t>参与式传播理论强调传播过程中受众从被动接收者向主动参与者的角色转变。在数字媒介环境中，网页作为一种基础性公共传播载体，凭借其基于URL的开放访问机制，在传播路径的多元性与内容触达的广覆盖性方面具有独特优势。相较于依托平台生态的移动应用程序（APP）或依附于超级平台的小程序，网页形态因其无需安装、跨终端访问与可自由嵌入的技术特性，更契合政府环保传播低门槛、强公共性的传播目标。响应式网页设计技术的成熟进一步消弭了桌面端与移动端之间的访问体验差异，使网页得以在移动优先的媒介生态中持续保有传播效能。由此可见，互动网页的设计质量——包括信息架构的合理性、交互流程的流畅度以及反馈机制的即时性——直接影响着其作为参与式传播载体的有效性。</w:t>
      </w:r>
    </w:p>
    <w:p>
      <w:pPr>
        <w:spacing w:before="120" w:after="60"/>
        <w:jc w:val="left"/>
      </w:pPr>
      <w:r>
        <w:rPr>
          <w:rFonts w:ascii="Times New Roman" w:hAnsi="Times New Roman" w:eastAsia="宋体"/>
          <w:b/>
          <w:sz w:val="24"/>
        </w:rPr>
        <w:t>2.4 游戏化设计与环保传播效果</w:t>
      </w:r>
    </w:p>
    <w:p>
      <w:pPr>
        <w:spacing w:before="0" w:after="120" w:line="440" w:lineRule="exact"/>
        <w:ind w:firstLine="420"/>
        <w:jc w:val="both"/>
      </w:pPr>
      <w:r>
        <w:rPr>
          <w:rFonts w:ascii="Times New Roman" w:hAnsi="Times New Roman" w:eastAsia="宋体"/>
          <w:sz w:val="24"/>
        </w:rPr>
        <w:t>游戏化（Gamification）是指将游戏设计要素应用于非游戏情境以激励用户参与的设计策略（Deterding et al., 2011）。在环保传播领域，游戏化设计因其能够有效调动用户的内在动机而受到研究者的广泛关注。自我决定理论（Self-Determination Theory, SDT）指出，当外部设计满足用户对自主性（Autonomy）、胜任感（Competence）与归属感（Relatedness）三种基本心理需求时，用户的内在参与动机将得到显著增强（Ryan &amp; Deci, 2000）。在实践层面，积分系统、等级晋升与成就徽章等游戏化机制通过提供可量化的进度反馈，有助于强化用户对环保行为的持续投入。严肃游戏（Serious Game）作为游戏化的高度形态，通过构建模拟情境使用户在虚拟决策过程中获得与真实环保议题相关的认知体验，从而在寓教于乐的过程中实现对公众环保意识的培养与提升（Zyda, 2005）。</w:t>
      </w:r>
    </w:p>
    <w:p>
      <w:pPr>
        <w:spacing w:before="120" w:after="60"/>
        <w:jc w:val="left"/>
      </w:pPr>
      <w:r>
        <w:rPr>
          <w:rFonts w:ascii="Times New Roman" w:hAnsi="Times New Roman" w:eastAsia="宋体"/>
          <w:b/>
          <w:sz w:val="24"/>
        </w:rPr>
        <w:t>2.5 信息架构与用户体验理论</w:t>
      </w:r>
    </w:p>
    <w:p>
      <w:pPr>
        <w:spacing w:before="0" w:after="120" w:line="440" w:lineRule="exact"/>
        <w:ind w:firstLine="420"/>
        <w:jc w:val="both"/>
      </w:pPr>
      <w:r>
        <w:rPr>
          <w:rFonts w:ascii="Times New Roman" w:hAnsi="Times New Roman" w:eastAsia="宋体"/>
          <w:sz w:val="24"/>
        </w:rPr>
        <w:t>信息架构（Information Architecture）是交互设计领域的核心概念之一，指对数字产品中信息的组织、标注、导航与检索方式所进行的结构性设计（Morville &amp; Rosenfeld, 2006）。合理的信息架构能够有效降低用户在信息检索过程中的认知负担，引导用户沿预设路径完成目标任务。尼尔森（Jakob Nielsen）提出的十大可用性原则为交互界面的评估提供了广为认可的学术标准，涵盖系统状态可见性、错误预防、一致性与反馈即时性等核心维度（Nielsen, 1994）。本·施奈德曼（Ben Shneiderman）提出的交互设计八大黄金法则则从用户操作习惯的角度进一步补充了界面设计的规范框架（Shneiderman &amp; Plaisant, 2010）。上述理论共同构成本研究分析与评估互动网页传播设计的理论基础。换言之，良好的信息架构与用户体验设计不只是提升可用性的技术手段，更是参与式传播得以实现的结构性前提。</w:t>
      </w:r>
    </w:p>
    <w:p>
      <w:pPr>
        <w:spacing w:before="240" w:after="120"/>
        <w:jc w:val="left"/>
      </w:pPr>
      <w:r>
        <w:rPr>
          <w:rFonts w:ascii="Times New Roman" w:hAnsi="Times New Roman" w:eastAsia="黑体"/>
          <w:b/>
          <w:sz w:val="28"/>
        </w:rPr>
        <w:t>第三章 研究对象与研究方法</w:t>
      </w:r>
    </w:p>
    <w:p>
      <w:pPr>
        <w:spacing w:before="120" w:after="60"/>
        <w:jc w:val="left"/>
      </w:pPr>
      <w:r>
        <w:rPr>
          <w:rFonts w:ascii="Times New Roman" w:hAnsi="Times New Roman" w:eastAsia="宋体"/>
          <w:b/>
          <w:sz w:val="24"/>
        </w:rPr>
        <w:t>3.1 研究对象</w:t>
      </w:r>
    </w:p>
    <w:p>
      <w:pPr>
        <w:spacing w:before="0" w:after="120" w:line="440" w:lineRule="exact"/>
        <w:ind w:firstLine="420"/>
        <w:jc w:val="both"/>
      </w:pPr>
      <w:r>
        <w:rPr>
          <w:rFonts w:ascii="Times New Roman" w:hAnsi="Times New Roman" w:eastAsia="宋体"/>
          <w:sz w:val="24"/>
        </w:rPr>
        <w:t>本研究以YouthLoop青年环保平台作为核心案例进行分析。该平台面向Z世代用户群体，围绕环保传播目标整合了科普内容呈现、线下活动组织与游戏化互动等多种功能模块，形成了一个兼具信息传播与用户参与机制的互动网页平台。就媒介形态而言，YouthLoop采用基于URL的开放式网页架构，并通过响应式布局与多语言界面设计实现跨终端访问，体现了互动网页在面向Z世代开展公共环保传播时的典型技术路径。</w:t>
      </w:r>
    </w:p>
    <w:p>
      <w:pPr>
        <w:spacing w:before="0" w:after="120" w:line="440" w:lineRule="exact"/>
        <w:ind w:firstLine="420"/>
        <w:jc w:val="both"/>
      </w:pPr>
      <w:r>
        <w:rPr>
          <w:rFonts w:ascii="Times New Roman" w:hAnsi="Times New Roman" w:eastAsia="宋体"/>
          <w:sz w:val="24"/>
        </w:rPr>
        <w:t>在传播机制层面，该平台不仅承担环保信息展示的功能，还通过活动报名、积分激励以及社交互动等设计引导用户参与环保实践。例如平台内置的策略型严肃游戏“深圳低碳规划师”通过模拟城市低碳发展决策情境，将抽象的碳中和政策议题转化为可操作的互动体验，从而为环保传播提供了一种沉浸式学习路径。相较于传统以信息发布为主的政务网页，此类互动机制在一定程度上强化了用户对环保议题的理解与参与动机。</w:t>
      </w:r>
    </w:p>
    <w:p>
      <w:pPr>
        <w:spacing w:before="0" w:after="120" w:line="440" w:lineRule="exact"/>
        <w:ind w:firstLine="420"/>
        <w:jc w:val="both"/>
      </w:pPr>
      <w:r>
        <w:rPr>
          <w:rFonts w:ascii="Times New Roman" w:hAnsi="Times New Roman" w:eastAsia="宋体"/>
          <w:sz w:val="24"/>
        </w:rPr>
        <w:t>正是基于上述特征，本研究将YouthLoop平台选作案例对象，以传播学与交互设计的交叉视角，考察互动网页在面向Z世代环保传播中的设计逻辑与传播意义。</w:t>
      </w:r>
    </w:p>
    <w:p>
      <w:pPr>
        <w:spacing w:before="120" w:after="60"/>
        <w:jc w:val="left"/>
      </w:pPr>
      <w:r>
        <w:rPr>
          <w:rFonts w:ascii="Times New Roman" w:hAnsi="Times New Roman" w:eastAsia="宋体"/>
          <w:b/>
          <w:sz w:val="24"/>
        </w:rPr>
        <w:t>3.2 研究方法</w:t>
      </w:r>
    </w:p>
    <w:p>
      <w:pPr>
        <w:spacing w:before="0" w:after="120" w:line="440" w:lineRule="exact"/>
        <w:ind w:firstLine="420"/>
        <w:jc w:val="both"/>
      </w:pPr>
      <w:r>
        <w:rPr>
          <w:rFonts w:ascii="Times New Roman" w:hAnsi="Times New Roman" w:eastAsia="宋体"/>
          <w:sz w:val="24"/>
        </w:rPr>
        <w:t>在真实用户行为数据暂不可获取的条件下，本研究采用多方法结合的研究策略，以实现对案例平台传播设计的系统性分析。具体而言，本研究主要采用以下五种方法。</w:t>
      </w:r>
    </w:p>
    <w:p>
      <w:pPr>
        <w:spacing w:before="0" w:after="120" w:line="440" w:lineRule="exact"/>
        <w:ind w:firstLine="420"/>
        <w:jc w:val="both"/>
      </w:pPr>
      <w:r>
        <w:rPr>
          <w:rFonts w:ascii="Times New Roman" w:hAnsi="Times New Roman" w:eastAsia="宋体"/>
          <w:sz w:val="24"/>
        </w:rPr>
        <w:t>首先，文献分析法。通过梳理政府环保传播、Z世代媒介使用行为以及游戏化设计等领域的相关研究成果，建立本研究的理论基础，并为后续案例分析与平台评估提供相应的分析框架与评价标准。</w:t>
      </w:r>
    </w:p>
    <w:p>
      <w:pPr>
        <w:spacing w:before="0" w:after="120" w:line="440" w:lineRule="exact"/>
        <w:ind w:firstLine="420"/>
        <w:jc w:val="both"/>
      </w:pPr>
      <w:r>
        <w:rPr>
          <w:rFonts w:ascii="Times New Roman" w:hAnsi="Times New Roman" w:eastAsia="宋体"/>
          <w:sz w:val="24"/>
        </w:rPr>
        <w:t>其次，案例分析法。将YouthLoop平台视为整体性研究对象，对其传播目标、功能结构与设计逻辑之间的关系进行系统考察，从而分析互动网页在环保传播情境中如何通过功能设计促进用户参与。</w:t>
      </w:r>
    </w:p>
    <w:p>
      <w:pPr>
        <w:spacing w:before="0" w:after="120" w:line="440" w:lineRule="exact"/>
        <w:ind w:firstLine="420"/>
        <w:jc w:val="both"/>
      </w:pPr>
      <w:r>
        <w:rPr>
          <w:rFonts w:ascii="Times New Roman" w:hAnsi="Times New Roman" w:eastAsia="宋体"/>
          <w:sz w:val="24"/>
        </w:rPr>
        <w:t>第三，信息架构分析。依据信息架构理论中的层级组织与内容分类原则，对平台的站点地图、导航结构及内容分类体系进行结构性梳理，分析其内容组织方式如何引导用户完成从信息认知到行动参与的传播路径。</w:t>
      </w:r>
    </w:p>
    <w:p>
      <w:pPr>
        <w:spacing w:before="0" w:after="120" w:line="440" w:lineRule="exact"/>
        <w:ind w:firstLine="420"/>
        <w:jc w:val="both"/>
      </w:pPr>
      <w:r>
        <w:rPr>
          <w:rFonts w:ascii="Times New Roman" w:hAnsi="Times New Roman" w:eastAsia="宋体"/>
          <w:sz w:val="24"/>
        </w:rPr>
        <w:t>第四，启发式评估（Heuristic Evaluation）。以Jakob Nielsen提出的十大可用性原则为评估标准，对平台关键界面的交互设计进行结构化审查，识别其在界面可理解性、操作效率与反馈机制等方面的设计表现，从而评估其对Z世代用户参与环保传播的支持程度。</w:t>
      </w:r>
    </w:p>
    <w:p>
      <w:pPr>
        <w:spacing w:before="0" w:after="120" w:line="440" w:lineRule="exact"/>
        <w:ind w:firstLine="420"/>
        <w:jc w:val="both"/>
      </w:pPr>
      <w:r>
        <w:rPr>
          <w:rFonts w:ascii="Times New Roman" w:hAnsi="Times New Roman" w:eastAsia="宋体"/>
          <w:sz w:val="24"/>
        </w:rPr>
        <w:t>第五，认知走查（Cognitive Walkthrough）。通过模拟目标用户在典型任务情境中的操作路径，对平台的关键交互流程进行分析。例如，新用户注册并完成首次签到，以及用户发现并报名环保活动等任务路径。通过逐步分析各操作节点的目标清晰度与信息提示情况，从用户认知视角评估平台设计对环保传播参与行为的支撑能力。</w:t>
      </w:r>
    </w:p>
    <w:p>
      <w:pPr>
        <w:spacing w:before="0" w:after="120" w:line="440" w:lineRule="exact"/>
        <w:ind w:firstLine="420"/>
        <w:jc w:val="both"/>
      </w:pPr>
      <w:r>
        <w:rPr>
          <w:rFonts w:ascii="Times New Roman" w:hAnsi="Times New Roman" w:eastAsia="宋体"/>
          <w:sz w:val="24"/>
        </w:rPr>
        <w:t>上述五种方法在研究过程中相互补充，共同构成本研究在缺乏实测用户数据情况下对平台传播设计进行学术分析的方法论基础。</w:t>
      </w:r>
    </w:p>
    <w:p>
      <w:pPr>
        <w:spacing w:before="240" w:after="120"/>
        <w:jc w:val="left"/>
      </w:pPr>
      <w:r>
        <w:rPr>
          <w:rFonts w:ascii="Times New Roman" w:hAnsi="Times New Roman" w:eastAsia="黑体"/>
          <w:b/>
          <w:sz w:val="28"/>
        </w:rPr>
        <w:t>第四章 网页形态的传播适配性分析</w:t>
      </w:r>
    </w:p>
    <w:p>
      <w:pPr>
        <w:spacing w:before="120" w:after="60"/>
        <w:jc w:val="left"/>
      </w:pPr>
      <w:r>
        <w:rPr>
          <w:rFonts w:ascii="Times New Roman" w:hAnsi="Times New Roman" w:eastAsia="宋体"/>
          <w:b/>
          <w:sz w:val="24"/>
        </w:rPr>
        <w:t>4.1 传播门槛比较：网页 vs APP vs 小程序</w:t>
      </w:r>
    </w:p>
    <w:p>
      <w:pPr>
        <w:spacing w:before="0" w:after="120" w:line="440" w:lineRule="exact"/>
        <w:ind w:firstLine="420"/>
        <w:jc w:val="both"/>
      </w:pPr>
      <w:r>
        <w:rPr>
          <w:rFonts w:ascii="Times New Roman" w:hAnsi="Times New Roman" w:eastAsia="宋体"/>
          <w:sz w:val="24"/>
        </w:rPr>
        <w:t>在数字媒介生态日趋复杂的背景下，不同媒介形态在传播门槛、渠道依附性与受众覆盖范围等方面存在结构性差异，这些差异对政府环保信息的传播效能具有直接影响。移动应用程序（APP）作为当前主流的数字传播载体之一，其使用以下载安装为前提，用户需经历搜索、下载、注册等多个步骤方可访问内容，整体参与门槛较高；同时，APP的分发依赖于应用商店审核机制，存在平台政策约束与版本维护成本。小程序虽省去了安装环节，但其运行须依附于微信、支付宝等超级平台，内容的传播路径与触达范围受制于宿主平台的生态规则，独立性与开放性相对有限。相比之下，基于URL的网页形态无需安装、无需宿主平台授权，用户通过浏览器即可直接访问，在技术访问层面具有最低的参与门槛。对于以公共性与普惠性为基本属性的政府环保传播而言，这种低门槛、强开放性的媒介特征与其传播目标高度契合。</w:t>
      </w:r>
    </w:p>
    <w:p>
      <w:pPr>
        <w:spacing w:before="120" w:after="60"/>
        <w:jc w:val="left"/>
      </w:pPr>
      <w:r>
        <w:rPr>
          <w:rFonts w:ascii="Times New Roman" w:hAnsi="Times New Roman" w:eastAsia="宋体"/>
          <w:b/>
          <w:sz w:val="24"/>
        </w:rPr>
        <w:t>4.2 URL开放性与传播扩散能力</w:t>
      </w:r>
    </w:p>
    <w:p>
      <w:pPr>
        <w:spacing w:before="0" w:after="120" w:line="440" w:lineRule="exact"/>
        <w:ind w:firstLine="420"/>
        <w:jc w:val="both"/>
      </w:pPr>
      <w:r>
        <w:rPr>
          <w:rFonts w:ascii="Times New Roman" w:hAnsi="Times New Roman" w:eastAsia="宋体"/>
          <w:sz w:val="24"/>
        </w:rPr>
        <w:t>网页形态最具传播学意义的结构性特征在于URL的开放共享机制。每一个网页均对应一个可自由分发的URL地址，用户可通过链接分享、嵌入引用、搜索引擎检索等多种路径触达相同内容，从而形成去中心化的多向传播网络。这一特性使得环保信息得以突破单一平台的流量边界，在社交媒体、即时通讯、邮件列表乃至政府官方网站等异质性传播场景中实现跨渠道扩散。议程设置理论（Agenda-Setting Theory）强调媒介在引导公众关注特定议题方面的重要作用（McCombs &amp; Shaw, 1972），而URL的可嵌入性与可索引性恰恰为环保议题争取更广泛的公众曝光提供了结构性支撑。以YouthLoop为例，该平台以网页形态承载科普内容与活动信息，其每一篇内容页均具备独立URL，具备被外部链接引用与搜索引擎收录的技术条件，这在传播路径上构成了APP或小程序所难以复制的扩散优势。</w:t>
      </w:r>
    </w:p>
    <w:p>
      <w:pPr>
        <w:spacing w:before="120" w:after="60"/>
        <w:jc w:val="left"/>
      </w:pPr>
      <w:r>
        <w:rPr>
          <w:rFonts w:ascii="Times New Roman" w:hAnsi="Times New Roman" w:eastAsia="宋体"/>
          <w:b/>
          <w:sz w:val="24"/>
        </w:rPr>
        <w:t>4.3 响应式网页设计与Z世代移动端适配</w:t>
      </w:r>
    </w:p>
    <w:p>
      <w:pPr>
        <w:spacing w:before="0" w:after="120" w:line="440" w:lineRule="exact"/>
        <w:ind w:firstLine="420"/>
        <w:jc w:val="both"/>
      </w:pPr>
      <w:r>
        <w:rPr>
          <w:rFonts w:ascii="Times New Roman" w:hAnsi="Times New Roman" w:eastAsia="宋体"/>
          <w:sz w:val="24"/>
        </w:rPr>
        <w:t>移动设备已成为Z世代获取信息的首要终端。响应式网页设计（Responsive Web Design）通过弹性布局与媒体查询技术，使同一网页能够根据访问终端的屏幕尺寸自动调整排版与交互方式，从而在桌面端、平板与移动端之间提供一致的用户体验。其传播意义在于：这一机制消除了因设备差异造成的访问体验断层，使环保传播内容对移动优先的Z世代用户保持稳定可及。施奈德曼（Shneiderman &amp; Plaisant, 2010）强调界面设计应减少用户记忆负担、保持操作一致性，响应式设计在跨终端场景下的一致性呈现正契合这一原则。因此，响应式网页设计并非单纯的技术选择，而是面向Z世代移动媒介使用习惯的传播适配策略，其核心价值在于确保环保信息在不同访问情境下均能以适宜形态触达目标受众。</w:t>
      </w:r>
    </w:p>
    <w:p>
      <w:pPr>
        <w:spacing w:before="240" w:after="120"/>
        <w:jc w:val="left"/>
      </w:pPr>
      <w:r>
        <w:rPr>
          <w:rFonts w:ascii="Times New Roman" w:hAnsi="Times New Roman" w:eastAsia="黑体"/>
          <w:b/>
          <w:sz w:val="28"/>
        </w:rPr>
        <w:t>第五章 YouthLoop平台信息架构分析</w:t>
      </w:r>
    </w:p>
    <w:p>
      <w:pPr>
        <w:spacing w:before="120" w:after="60"/>
        <w:jc w:val="left"/>
      </w:pPr>
      <w:r>
        <w:rPr>
          <w:rFonts w:ascii="Times New Roman" w:hAnsi="Times New Roman" w:eastAsia="宋体"/>
          <w:b/>
          <w:sz w:val="24"/>
        </w:rPr>
        <w:t>5.1 站点结构与内容层级设计</w:t>
      </w:r>
    </w:p>
    <w:p>
      <w:pPr>
        <w:spacing w:before="0" w:after="120" w:line="440" w:lineRule="exact"/>
        <w:ind w:firstLine="420"/>
        <w:jc w:val="both"/>
      </w:pPr>
      <w:r>
        <w:rPr>
          <w:rFonts w:ascii="Times New Roman" w:hAnsi="Times New Roman" w:eastAsia="宋体"/>
          <w:sz w:val="24"/>
        </w:rPr>
        <w:t>信息架构理论认为，数字平台的内容层级组织方式直接影响用户对信息的感知与理解效率（Morville &amp; Rosenfeld, 2006）。从整体结构来看，YouthLoop平台围绕环保传播目标构建了六大核心功能模块：科普资料、环保活动、绿色游戏、积分中心、用户中心与主办方中心。这六个模块在信息层级上并非平行排列，而是隐含着一条由浅入深的传播引导逻辑。科普资料模块承担信息认知功能，为用户提供环保新闻、政策解读、科学百科等内容，对应传播路径中的知识获取层；环保活动模块将线上信息与线下行动相连接，构成参与引导层；绿色游戏模块通过模拟决策情境提供沉浸式的环保知识内化体验，形成深度学习层；积分中心与用户中心则通过量化激励与个人身份建构，共同支撑社群归属层。这种"认知—行动—内化—归属"的四层递进结构并非偶然，而是信息架构服务于参与式传播目标的结果。各模块通过主导航统一入口实现横向联通，用户可在不同传播层次间自由切换，层级清晰、路径可预期。</w:t>
      </w:r>
    </w:p>
    <w:p>
      <w:pPr>
        <w:spacing w:before="120" w:after="60"/>
        <w:jc w:val="left"/>
      </w:pPr>
      <w:r>
        <w:rPr>
          <w:rFonts w:ascii="Times New Roman" w:hAnsi="Times New Roman" w:eastAsia="宋体"/>
          <w:b/>
          <w:sz w:val="24"/>
        </w:rPr>
        <w:t>5.2 导航系统与用户浏览路径</w:t>
      </w:r>
    </w:p>
    <w:p>
      <w:pPr>
        <w:spacing w:before="0" w:after="120" w:line="440" w:lineRule="exact"/>
        <w:ind w:firstLine="420"/>
        <w:jc w:val="both"/>
      </w:pPr>
      <w:r>
        <w:rPr>
          <w:rFonts w:ascii="Times New Roman" w:hAnsi="Times New Roman" w:eastAsia="宋体"/>
          <w:sz w:val="24"/>
        </w:rPr>
        <w:t>导航系统是信息架构的外显形态，其设计质量直接决定用户在平台内部的信息寻路（Wayfinding）效率。YouthLoop平台采用三层导航体系以适应不同终端与使用场景下的信息访问需求。其一，顶部主导航以水平排列方式呈现科普资料、环保活动、绿色游戏、积分中心四个核心入口，辅以用户账户下拉菜单，覆盖桌面端用户的主要访问路径，符合尼尔森可用性原则中"识别优于记忆"的核心设计准则——用户无需记忆平台结构，仅需在视觉化导航中做出选择即可抵达目标内容。其二，移动端导航采用汉堡菜单与底部Tab栏的组合形式，将首页、科普、活动、游戏、我的五个高频入口置于拇指易触及区域，这一设计契合Z世代以单手握持移动设备进行内容浏览的操作习惯，有效降低了移动场景下的操作认知负担。其三，平台在内容详情页引入面包屑导航（Breadcrumb Navigation），以"首页 &gt; 科普资料 &gt; 文章标题"的层级路径显示用户当前位置，帮助用户在深层内容页中保持空间定向感，减少因层级迷失而产生的浏览中断。上述三层导航的协同设计，使平台在不同终端与访问深度下均能为用户提供连贯的信息寻路支撑，从而保障环保传播内容的持续可触达性。</w:t>
      </w:r>
    </w:p>
    <w:p>
      <w:pPr>
        <w:spacing w:before="120" w:after="60"/>
        <w:jc w:val="left"/>
      </w:pPr>
      <w:r>
        <w:rPr>
          <w:rFonts w:ascii="Times New Roman" w:hAnsi="Times New Roman" w:eastAsia="宋体"/>
          <w:b/>
          <w:sz w:val="24"/>
        </w:rPr>
        <w:t>5.3 内容分类体系与传播逻辑</w:t>
      </w:r>
    </w:p>
    <w:p>
      <w:pPr>
        <w:spacing w:before="0" w:after="120" w:line="440" w:lineRule="exact"/>
        <w:ind w:firstLine="420"/>
        <w:jc w:val="both"/>
      </w:pPr>
      <w:r>
        <w:rPr>
          <w:rFonts w:ascii="Times New Roman" w:hAnsi="Times New Roman" w:eastAsia="宋体"/>
          <w:sz w:val="24"/>
        </w:rPr>
        <w:t>内容分类体系是信息架构的核心组成部分，其逻辑直接影响用户对内容的认知框架与接收路径。YouthLoop平台对科普内容设有四类标签——新闻（NEWS）、动态（DYNAMIC）、政策（POLICY）、百科（WIKI）——各类别在传播功能上分工明确：新闻类内容提供时效性议程触点，政策类内容承接政府环保传播的权威来源，百科类内容降低专业门槛，动态类内容则聚焦社群行动案例。四类内容相互补充，共同构成一个覆盖不同认知需求层次的内容供给结构，有助于使不同知识背景与参与动机的Z世代用户均能找到适配的信息入口。活动模块亦对线下活动设置了八类分类标签（环保、志愿、社区、文化、运动、科技、艺术、其他），将环保议题从单一生态话语扩展至更广泛的青年生活方式场景，降低了"环保"标签对部分用户可能产生的疏离感，使环保行动更易融入Z世代的日常兴趣结构之中。由此可见，该平台的内容分类体系并非单纯的信息管理工具，其背后的传播逻辑在于：以用户的兴趣与需求为分类依据，而非以传播者的内容生产逻辑为主导，从而将政府环保传播目标转化为用户可感知的差异化信息入口。</w:t>
      </w:r>
    </w:p>
    <w:p>
      <w:pPr>
        <w:spacing w:before="240" w:after="120"/>
        <w:jc w:val="left"/>
      </w:pPr>
      <w:r>
        <w:rPr>
          <w:rFonts w:ascii="Times New Roman" w:hAnsi="Times New Roman" w:eastAsia="黑体"/>
          <w:b/>
          <w:sz w:val="28"/>
        </w:rPr>
        <w:t>第六章 交互设计与传播机制分析</w:t>
      </w:r>
    </w:p>
    <w:p>
      <w:pPr>
        <w:spacing w:before="120" w:after="60"/>
        <w:jc w:val="left"/>
      </w:pPr>
      <w:r>
        <w:rPr>
          <w:rFonts w:ascii="Times New Roman" w:hAnsi="Times New Roman" w:eastAsia="宋体"/>
          <w:b/>
          <w:sz w:val="24"/>
        </w:rPr>
        <w:t>6.1 游戏化激励机制的传播功能</w:t>
      </w:r>
    </w:p>
    <w:p>
      <w:pPr>
        <w:spacing w:before="0" w:after="120" w:line="440" w:lineRule="exact"/>
        <w:ind w:firstLine="420"/>
        <w:jc w:val="both"/>
      </w:pPr>
      <w:r>
        <w:rPr>
          <w:rFonts w:ascii="Times New Roman" w:hAnsi="Times New Roman" w:eastAsia="宋体"/>
          <w:sz w:val="24"/>
        </w:rPr>
        <w:t>YouthLoop平台的游戏化设计由积分系统、每日签到、任务体系、环保问答与严肃游戏五个相互关联的机制层次构成。依据自我决定理论（SDT），这一体系同时作用于用户内在参与动机的多个维度。积分的可累积性与等级的可晋升性满足了用户对胜任感的心理需求——每一次签到、每一道答对的问答题均以可量化的积分形式即时反馈，使用户的环保行为获得明确的进度感知。每日任务体系通过引导阅读科普文章、参与互动等具体行为完成积分获取，将抽象的"参与环保"转化为用户可执行的具体操作步骤，降低了行为启动的决策成本。在此基础上，"深圳低碳规划师"作为平台核心的严肃游戏模块，通过回合制策略卡牌的形式模拟深圳城市碳中和政策决策情境，将碳交易机制、绿色建筑认证、碳汇技术等高专业度知识嵌入可操作的游戏逻辑之中。依据Zyda（2005）对严肃游戏的定义，此类设计旨在通过虚拟情境中的决策体验促进认知层面的知识转化，其传播意义在于将环保议题从单向的信息告知转化为用户主动参与的知识建构过程。</w:t>
      </w:r>
    </w:p>
    <w:p>
      <w:pPr>
        <w:spacing w:before="120" w:after="60"/>
        <w:jc w:val="left"/>
      </w:pPr>
      <w:r>
        <w:rPr>
          <w:rFonts w:ascii="Times New Roman" w:hAnsi="Times New Roman" w:eastAsia="宋体"/>
          <w:b/>
          <w:sz w:val="24"/>
        </w:rPr>
        <w:t>6.2 微交互设计与信息传播效能</w:t>
      </w:r>
    </w:p>
    <w:p>
      <w:pPr>
        <w:spacing w:before="0" w:after="120" w:line="440" w:lineRule="exact"/>
        <w:ind w:firstLine="420"/>
        <w:jc w:val="both"/>
      </w:pPr>
      <w:r>
        <w:rPr>
          <w:rFonts w:ascii="Times New Roman" w:hAnsi="Times New Roman" w:eastAsia="宋体"/>
          <w:sz w:val="24"/>
        </w:rPr>
        <w:t>微交互（Micro-interaction）是指界面中针对单一用户操作所提供的即时视觉或动效反馈，其核心功能在于将操作结果的状态变化以直觉化方式传递给用户（Saffer, 2013）。在面向Z世代的环保传播场景中，微交互设计的传播效能主要体现在即时反馈与进度可视化两个维度。就即时反馈而言，以签到功能为例，用户触发签到操作后，界面呈现包含脉冲扩散动效与积分数字渐进变化的复合反馈，将一次抽象的"打开网页"行为转化为具有仪式感的参与体验。尼尔森可用性原则中的"系统状态可见性"要求界面在合适的时间以适当方式告知用户当前状态，签到动效正是这一原则在环保传播场景中的具体体现——用户对自身参与行为的即时感知，有助于强化其对平台的持续回访动机。就进度可视化而言，积分进度条、连续签到日历与任务完成度指示器等视觉元素，以可量化的方式呈现用户的参与积累，使"坚持参与环保"这一长周期行为目标被分解为若干可感知的阶段性进展。精细加工可能性模型（ELM）指出，对于低卷入度受众而言，边缘路径（peripheral route）中的情感与视觉线索对态度改变具有重要作用（Petty &amp; Cacioppo, 1986），微交互设计所提供的正向视觉反馈正是此类边缘说服线索的典型体现，其传播价值在于持续维系Z世代用户与环保议题之间的情感连接。</w:t>
      </w:r>
    </w:p>
    <w:p>
      <w:pPr>
        <w:spacing w:before="120" w:after="60"/>
        <w:jc w:val="left"/>
      </w:pPr>
      <w:r>
        <w:rPr>
          <w:rFonts w:ascii="Times New Roman" w:hAnsi="Times New Roman" w:eastAsia="宋体"/>
          <w:b/>
          <w:sz w:val="24"/>
        </w:rPr>
        <w:t>6.3 社交互动功能的社群传播效应</w:t>
      </w:r>
    </w:p>
    <w:p>
      <w:pPr>
        <w:spacing w:before="0" w:after="120" w:line="440" w:lineRule="exact"/>
        <w:ind w:firstLine="420"/>
        <w:jc w:val="both"/>
      </w:pPr>
      <w:r>
        <w:rPr>
          <w:rFonts w:ascii="Times New Roman" w:hAnsi="Times New Roman" w:eastAsia="宋体"/>
          <w:sz w:val="24"/>
        </w:rPr>
        <w:t>传播学中的社会认同理论（Social Identity Theory）指出，个体通过对特定社群的归属认同，可形成稳定的集体行动倾向（Tajfel &amp; Turner, 1979）。互动网页平台若能在环保议题周围构建具有归属感的社群氛围，将有效推动用户从信息接收者向行动参与者转变。YouthLoop平台在社交功能层面设计了评论、点赞、收藏与分享四类基础互动机制，以及活动报名与主办方认证两类行动导向功能，这些机制共同构成一个由内容互动向集体行动延伸的社群传播链条。评论与点赞功能使用户得以对环保科普内容表达立场与情感，在内容层面形成可见的集体反应，有助于强化新用户对平台社群活跃度的感知。活动报名功能则将线上社群的情感认同转化为线下行动承诺，实现了从传播参与到环保实践的行为转化。主办方认证体系的引入进一步扩充了平台的活动供给来源，使更多来自社会组织与青年群体的环保活动得以汇聚至同一传播平台，形成覆盖不同兴趣圈层的社群网络。这与参与式传播理论所强调的"双向互动与共同建构"原则高度契合，也勾勒出互动网页在政府环保传播中构建社群效应的可能路径。</w:t>
      </w:r>
    </w:p>
    <w:p>
      <w:pPr>
        <w:spacing w:before="120" w:after="60"/>
        <w:jc w:val="left"/>
      </w:pPr>
      <w:r>
        <w:rPr>
          <w:rFonts w:ascii="Times New Roman" w:hAnsi="Times New Roman" w:eastAsia="宋体"/>
          <w:b/>
          <w:sz w:val="24"/>
        </w:rPr>
        <w:t>6.4 技术架构对传播稳定性的支撑</w:t>
      </w:r>
    </w:p>
    <w:p>
      <w:pPr>
        <w:spacing w:before="0" w:after="120" w:line="440" w:lineRule="exact"/>
        <w:ind w:firstLine="420"/>
        <w:jc w:val="both"/>
      </w:pPr>
      <w:r>
        <w:rPr>
          <w:rFonts w:ascii="Times New Roman" w:hAnsi="Times New Roman" w:eastAsia="宋体"/>
          <w:sz w:val="24"/>
        </w:rPr>
        <w:t>传播效能的实现不仅依赖于内容设计与交互机制，同样受制于技术架构提供的访问稳定性与响应效率。技术在此处的分析价值，不在于框架本身，而在于它如何支撑传播目标的达成。YouthLoop平台采用前后端分离架构，后端服务独立部署，使内容服务在高并发访问场景下仍能保持稳定响应，避免因页面加载失败造成的传播中断。服务端渲染（SSR）技术的引入则有效缩短了首屏内容呈现时间，这对于Z世代用户尤为关键——Liang等人（2024）的研究提示，该群体对页面响应速度高度敏感，加载延迟将显著提升用户放弃访问的概率，进而削弱环保内容的实际触达效率。此外，平台对多语言（中英文）的支持使环保传播内容得以覆盖更广泛的受众群体，体现了Fritz等人（2024）所强调的环境传播包容性原则。就此而言，上述技术选择并非孤立的工程决策，而是服务于"降低访问门槛、保障传播稳定、扩大受众覆盖"这一整体传播目标的系统性支撑。</w:t>
      </w:r>
    </w:p>
    <w:p>
      <w:pPr>
        <w:spacing w:before="240" w:after="120"/>
        <w:jc w:val="left"/>
      </w:pPr>
      <w:r>
        <w:rPr>
          <w:rFonts w:ascii="Times New Roman" w:hAnsi="Times New Roman" w:eastAsia="黑体"/>
          <w:b/>
          <w:sz w:val="28"/>
        </w:rPr>
        <w:t>第七章 启发式评估与认知走查</w:t>
      </w:r>
    </w:p>
    <w:p>
      <w:pPr>
        <w:spacing w:before="120" w:after="60"/>
        <w:jc w:val="left"/>
      </w:pPr>
      <w:r>
        <w:rPr>
          <w:rFonts w:ascii="Times New Roman" w:hAnsi="Times New Roman" w:eastAsia="宋体"/>
          <w:b/>
          <w:sz w:val="24"/>
        </w:rPr>
        <w:t>7.1 启发式评估：依据尼尔森十大原则</w:t>
      </w:r>
    </w:p>
    <w:p>
      <w:pPr>
        <w:spacing w:before="0" w:after="120" w:line="440" w:lineRule="exact"/>
        <w:ind w:firstLine="420"/>
        <w:jc w:val="both"/>
      </w:pPr>
      <w:r>
        <w:rPr>
          <w:rFonts w:ascii="Times New Roman" w:hAnsi="Times New Roman" w:eastAsia="宋体"/>
          <w:sz w:val="24"/>
        </w:rPr>
        <w:t>启发式评估（Heuristic Evaluation）是一种由评估者依据既定可用性原则对界面设计进行结构化检查的专家评估方法（Nielsen, 1994）。本研究选取与环保传播场景关联最为密切的五项原则，对YouthLoop平台的关键界面设计进行定性评估。</w:t>
      </w:r>
    </w:p>
    <w:p>
      <w:pPr>
        <w:spacing w:before="0" w:after="120" w:line="440" w:lineRule="exact"/>
        <w:ind w:firstLine="420"/>
        <w:jc w:val="both"/>
      </w:pPr>
      <w:r>
        <w:rPr>
          <w:rFonts w:ascii="Times New Roman" w:hAnsi="Times New Roman" w:eastAsia="宋体"/>
          <w:sz w:val="24"/>
        </w:rPr>
        <w:t>**系统状态可见性**方面，平台整体表现较为充分。积分数字的渐进动效、签到日历的高亮显示以及任务完成度指示器，均以直觉化的视觉方式告知用户当前参与状态，有助于强化用户对自身环保行为积累的感知，符合该原则的核心要求。**错误预防**方面，活动报名与注册表单设有实时字段验证机制，必填项通过视觉标注加以区分，在用户提交前提供预防性提示，有效降低了因操作失误导致参与中断的概率。**识别优于记忆**方面，平台的功能卡片图示化设计与分类标签可视化布局，使用户无需记忆平台层级结构即可完成内容定位，这对于初次接触平台的Z世代新用户尤为友好。**一致性与标准**方面，平台在色彩系统（绿色主色调与蓝色辅助色）、组件样式与交互反馈方式上保持了较高一致性，有助于建立用户对平台的认知信任感，降低跨页面操作的学习成本。**可访问性**方面，平台已实现部分基础无障碍功能，包括图标按钮的ARIA标签与语义化HTML结构；然而，动画减弱选项（prefers-reduced-motion）尚未支持，屏幕阅读器的焦点管理机制亦存在缺口。这表明，平台在面向具有特殊访问需求的用户群体时，其传播覆盖的包容性仍有待进一步完善，这与Fritz等人（2024）所强调的环境传播包容性标准之间存在一定差距。</w:t>
      </w:r>
    </w:p>
    <w:p>
      <w:pPr>
        <w:spacing w:before="120" w:after="60"/>
        <w:jc w:val="left"/>
      </w:pPr>
      <w:r>
        <w:rPr>
          <w:rFonts w:ascii="Times New Roman" w:hAnsi="Times New Roman" w:eastAsia="宋体"/>
          <w:b/>
          <w:sz w:val="24"/>
        </w:rPr>
        <w:t>7.2 认知走查：关键用户旅程分析</w:t>
      </w:r>
    </w:p>
    <w:p>
      <w:pPr>
        <w:spacing w:before="0" w:after="120" w:line="440" w:lineRule="exact"/>
        <w:ind w:firstLine="420"/>
        <w:jc w:val="both"/>
      </w:pPr>
      <w:r>
        <w:rPr>
          <w:rFonts w:ascii="Times New Roman" w:hAnsi="Times New Roman" w:eastAsia="宋体"/>
          <w:sz w:val="24"/>
        </w:rPr>
        <w:t>认知走查（Cognitive Walkthrough）通过逐步模拟目标用户在特定任务路径中的操作过程，评估界面设计在各节点的目标可见性与操作可预期性（Wharton et al., 1994）。本研究选取两条对环保传播目标具有代表性的关键旅程进行分析。</w:t>
      </w:r>
    </w:p>
    <w:p>
      <w:pPr>
        <w:spacing w:before="0" w:after="120" w:line="440" w:lineRule="exact"/>
        <w:ind w:firstLine="420"/>
        <w:jc w:val="both"/>
      </w:pPr>
      <w:r>
        <w:rPr>
          <w:rFonts w:ascii="Times New Roman" w:hAnsi="Times New Roman" w:eastAsia="宋体"/>
          <w:sz w:val="24"/>
        </w:rPr>
        <w:t>**旅程一：新用户注册并完成首次签到。** 该旅程的目标是完成平台身份注册并触发初始环保参与行为。用户在首页点击积分功能后，系统触发认证提示模态框（AuthPromptModal）介入，要求先行登录或注册。在参与动机尚未充分建立的情况下即进入注册流程，对低卷入度用户而言构成一定的认知阻力，存在在此节点流失的风险。注册完成后，用户被自动跳转至积分页面，签到日历以高亮方式标注当日可操作格子，操作目标的可见性较高；签到成功后的动效反馈则为用户提供了明确的任务完成确认，整体反馈链条完整。从传播设计角度看，该旅程的主要优化空间在于注册前的动机铺垫环节——若平台能在触发登录提示前，先向用户呈现更具吸引力的内容预览，可能有效降低注册门槛处的参与流失。</w:t>
      </w:r>
    </w:p>
    <w:p>
      <w:pPr>
        <w:spacing w:before="0" w:after="120" w:line="440" w:lineRule="exact"/>
        <w:ind w:firstLine="420"/>
        <w:jc w:val="both"/>
      </w:pPr>
      <w:r>
        <w:rPr>
          <w:rFonts w:ascii="Times New Roman" w:hAnsi="Times New Roman" w:eastAsia="宋体"/>
          <w:sz w:val="24"/>
        </w:rPr>
        <w:t>**旅程二：用户发现并报名环保活动。** 该旅程的目标为从活动列表中发现感兴趣的活动并完成报名。活动列表页提供分类标签筛选功能，操作目标清晰，可见性良好。进入活动详情页后，活动时间、地点与主办方信息的呈现较为完整，为用户完成参与决策提供了充分的信息支撑。报名表单设有自动填充机制（针对已登录用户），显著降低了重复信息录入的操作负担。提交成功后，页面显示报名确认与活动二维码，在传播意义上完成了从"信息接收"到"行动承诺"的转化。此旅程的潜在认知阻力主要集中于主办方信息的可信度呈现层面：当前平台缺乏明确的内容来源标注与主办方认证标识，这在一定程度上削弱了新用户对活动信息权威性的感知，这提示平台在主办方资质可视化与内容来源说明方面仍存在优化空间。</w:t>
      </w:r>
    </w:p>
    <w:p>
      <w:pPr>
        <w:spacing w:before="120" w:after="60"/>
        <w:jc w:val="left"/>
      </w:pPr>
      <w:r>
        <w:rPr>
          <w:rFonts w:ascii="Times New Roman" w:hAnsi="Times New Roman" w:eastAsia="宋体"/>
          <w:b/>
          <w:sz w:val="24"/>
        </w:rPr>
        <w:t>7.3 评估发现与学术建议</w:t>
      </w:r>
    </w:p>
    <w:p>
      <w:pPr>
        <w:spacing w:before="0" w:after="120" w:line="440" w:lineRule="exact"/>
        <w:ind w:firstLine="420"/>
        <w:jc w:val="both"/>
      </w:pPr>
      <w:r>
        <w:rPr>
          <w:rFonts w:ascii="Times New Roman" w:hAnsi="Times New Roman" w:eastAsia="宋体"/>
          <w:sz w:val="24"/>
        </w:rPr>
        <w:t>综合启发式评估与认知走查的分析结果，可归纳以下主要研究发现。</w:t>
      </w:r>
    </w:p>
    <w:p>
      <w:pPr>
        <w:spacing w:before="0" w:after="120" w:line="440" w:lineRule="exact"/>
        <w:ind w:firstLine="420"/>
        <w:jc w:val="both"/>
      </w:pPr>
      <w:r>
        <w:rPr>
          <w:rFonts w:ascii="Times New Roman" w:hAnsi="Times New Roman" w:eastAsia="宋体"/>
          <w:sz w:val="24"/>
        </w:rPr>
        <w:t>其一，YouthLoop平台在系统状态反馈、内容组织可见性与跨终端一致性等维度上表现出较强的传播适配能力，这表明该平台的交互设计总体上契合面向Z世代的参与式环保传播目标，能够有效降低用户的认知操作门槛。</w:t>
      </w:r>
    </w:p>
    <w:p>
      <w:pPr>
        <w:spacing w:before="0" w:after="120" w:line="440" w:lineRule="exact"/>
        <w:ind w:firstLine="420"/>
        <w:jc w:val="both"/>
      </w:pPr>
      <w:r>
        <w:rPr>
          <w:rFonts w:ascii="Times New Roman" w:hAnsi="Times New Roman" w:eastAsia="宋体"/>
          <w:sz w:val="24"/>
        </w:rPr>
        <w:t>其二，平台在用户初次接触的参与门槛设计与内容可信度呈现两个维度上存在可改进空间。从传播设计角度看，注册前的内容预览机制与主办方认证标识的可视化呈现，是提升平台对低卷入度新用户吸引力与环保信息公信力的两个关键节点。</w:t>
      </w:r>
    </w:p>
    <w:p>
      <w:pPr>
        <w:spacing w:before="0" w:after="120" w:line="440" w:lineRule="exact"/>
        <w:ind w:firstLine="420"/>
        <w:jc w:val="both"/>
      </w:pPr>
      <w:r>
        <w:rPr>
          <w:rFonts w:ascii="Times New Roman" w:hAnsi="Times New Roman" w:eastAsia="宋体"/>
          <w:sz w:val="24"/>
        </w:rPr>
        <w:t>其三，平台可访问性功能的不完整性，使其在包容特殊需求用户群体方面尚未达到Fritz等人（2024）所提出的环境传播公共性标准。这表明平台在动画控制与屏幕阅读器焦点管理方面仍有进一步完善的必要。</w:t>
      </w:r>
    </w:p>
    <w:p>
      <w:pPr>
        <w:spacing w:before="0" w:after="120" w:line="440" w:lineRule="exact"/>
        <w:ind w:firstLine="420"/>
        <w:jc w:val="both"/>
      </w:pPr>
      <w:r>
        <w:rPr>
          <w:rFonts w:ascii="Times New Roman" w:hAnsi="Times New Roman" w:eastAsia="宋体"/>
          <w:sz w:val="24"/>
        </w:rPr>
        <w:t>总体而言，互动网页在面向Z世代的政府环保传播中具有显著的设计潜力，但传播效能的充分释放仍有赖于参与门槛管理、信息可信度设计与无障碍可访问性三个维度上的持续优化。本章所采用的评估路径，亦可为同类平台的传播设计研究提供一定的方法论参考。</w:t>
      </w:r>
    </w:p>
    <w:p>
      <w:pPr>
        <w:spacing w:before="240" w:after="120"/>
        <w:jc w:val="left"/>
      </w:pPr>
      <w:r>
        <w:rPr>
          <w:rFonts w:ascii="Times New Roman" w:hAnsi="Times New Roman" w:eastAsia="黑体"/>
          <w:b/>
          <w:sz w:val="28"/>
        </w:rPr>
        <w:t>第八章 结论</w:t>
      </w:r>
    </w:p>
    <w:p>
      <w:pPr>
        <w:spacing w:before="0" w:after="120" w:line="440" w:lineRule="exact"/>
        <w:ind w:firstLine="420"/>
        <w:jc w:val="both"/>
      </w:pPr>
      <w:r>
        <w:rPr>
          <w:rFonts w:ascii="Times New Roman" w:hAnsi="Times New Roman" w:eastAsia="宋体"/>
          <w:sz w:val="24"/>
        </w:rPr>
        <w:t>本研究以YouthLoop青年环保平台为案例，从传播学与交互设计的交叉视角，对面向Z世代的政府环保互动传播网页设计逻辑进行了系统性分析。研究围绕三个核心问题展开，并得出以下主要结论。</w:t>
      </w:r>
    </w:p>
    <w:p>
      <w:pPr>
        <w:spacing w:before="0" w:after="120" w:line="440" w:lineRule="exact"/>
        <w:ind w:firstLine="420"/>
        <w:jc w:val="both"/>
      </w:pPr>
      <w:r>
        <w:rPr>
          <w:rFonts w:ascii="Times New Roman" w:hAnsi="Times New Roman" w:eastAsia="宋体"/>
          <w:sz w:val="24"/>
        </w:rPr>
        <w:t>针对研究问题一，本研究的分析表明，基于URL的网页形态在面向Z世代的政府环保传播中具备三项结构性优势：无需安装的低门槛访问机制、支持跨渠道扩散的开放链接特性，以及通过响应式设计实现的移动端适配能力。这三项特征共同支撑了政府环保传播在低门槛、高覆盖与可持续传播目标上的实现，使网页形态相较于APP与小程序具有更强的公共性与普惠性。</w:t>
      </w:r>
    </w:p>
    <w:p>
      <w:pPr>
        <w:spacing w:before="0" w:after="120" w:line="440" w:lineRule="exact"/>
        <w:ind w:firstLine="420"/>
        <w:jc w:val="both"/>
      </w:pPr>
      <w:r>
        <w:rPr>
          <w:rFonts w:ascii="Times New Roman" w:hAnsi="Times New Roman" w:eastAsia="宋体"/>
          <w:sz w:val="24"/>
        </w:rPr>
        <w:t>针对研究问题二，信息架构分析显示，YouthLoop平台以"认知—行动—内化—归属"四层递进结构组织功能模块，辅以三层导航体系与多维内容分类逻辑，将政府环保信息的单向传播转化为具有参与引导性的结构化传播路径。这一设计逻辑体现了互动网页信息架构在参与式传播目标实现中的核心价值。</w:t>
      </w:r>
    </w:p>
    <w:p>
      <w:pPr>
        <w:spacing w:before="0" w:after="120" w:line="440" w:lineRule="exact"/>
        <w:ind w:firstLine="420"/>
        <w:jc w:val="both"/>
      </w:pPr>
      <w:r>
        <w:rPr>
          <w:rFonts w:ascii="Times New Roman" w:hAnsi="Times New Roman" w:eastAsia="宋体"/>
          <w:sz w:val="24"/>
        </w:rPr>
        <w:t>针对研究问题三，游戏化机制与微交互设计通过满足Z世代对即时反馈与进度可感知性的媒介使用期待，在降低环保参与认知成本的同时，持续强化用户与环保议题之间的情感联结。严肃游戏的引入则进一步将高专业度的环保政策知识转化为沉浸式的决策体验，拓展了互动网页在环保知识深度传播中的媒介潜力。</w:t>
      </w:r>
    </w:p>
    <w:p>
      <w:pPr>
        <w:spacing w:before="0" w:after="120" w:line="440" w:lineRule="exact"/>
        <w:ind w:firstLine="420"/>
        <w:jc w:val="both"/>
      </w:pPr>
      <w:r>
        <w:rPr>
          <w:rFonts w:ascii="Times New Roman" w:hAnsi="Times New Roman" w:eastAsia="宋体"/>
          <w:sz w:val="24"/>
        </w:rPr>
        <w:t>本研究的局限主要在于：真实用户行为数据暂不可获取，分析主要依赖专家视角的启发式评估与认知走查，结论的外部效度存在一定局限，尚不能充分代表真实Z世代用户群体在使用该平台时的实际体验与行为模式。</w:t>
      </w:r>
    </w:p>
    <w:p>
      <w:pPr>
        <w:spacing w:before="0" w:after="120" w:line="440" w:lineRule="exact"/>
        <w:ind w:firstLine="420"/>
        <w:jc w:val="both"/>
      </w:pPr>
      <w:r>
        <w:rPr>
          <w:rFonts w:ascii="Times New Roman" w:hAnsi="Times New Roman" w:eastAsia="宋体"/>
          <w:sz w:val="24"/>
        </w:rPr>
        <w:t>后续研究可从以下三个维度加以拓展：其一，引入真实用户可用性测试，以实测行为数据验证本研究的设计评估结论；其二，开展纵向跟踪研究，观察用户在持续使用平台过程中环保行为意愿的动态变化；其三，以同类媒介形态（APP、小程序）上的环保传播平台作为比较案例，通过跨平台比较研究进一步检验网页形态传播适配性优势的普遍性与边界条件。</w:t>
      </w:r>
    </w:p>
    <w:p>
      <w:pPr>
        <w:spacing w:before="240" w:after="120"/>
        <w:jc w:val="left"/>
      </w:pPr>
      <w:r>
        <w:rPr>
          <w:rFonts w:ascii="Times New Roman" w:hAnsi="Times New Roman" w:eastAsia="黑体"/>
          <w:b/>
          <w:sz w:val="28"/>
        </w:rPr>
        <w:t>参考文献</w:t>
      </w:r>
    </w:p>
    <w:p>
      <w:pPr>
        <w:spacing w:before="0" w:after="120" w:line="440" w:lineRule="exact"/>
        <w:ind w:firstLine="420"/>
        <w:jc w:val="both"/>
      </w:pPr>
      <w:r>
        <w:rPr>
          <w:rFonts w:ascii="Times New Roman" w:hAnsi="Times New Roman" w:eastAsia="宋体"/>
          <w:sz w:val="24"/>
        </w:rPr>
        <w:t>[1] DE VRIES G. Public communications as a tool to implement environmental policies[J]. Social Issues and Policy Review, 2020, 14(1): 244–272.</w:t>
      </w:r>
    </w:p>
    <w:p>
      <w:pPr>
        <w:spacing w:before="0" w:after="120" w:line="440" w:lineRule="exact"/>
        <w:ind w:firstLine="420"/>
        <w:jc w:val="both"/>
      </w:pPr>
      <w:r>
        <w:rPr>
          <w:rFonts w:ascii="Times New Roman" w:hAnsi="Times New Roman" w:eastAsia="宋体"/>
          <w:sz w:val="24"/>
        </w:rPr>
        <w:t>[2] 郭进. 公众参与环境治理的逻辑、路径与效应[J]. 资源科学, 2020, 42(7): 1372–1383.</w:t>
      </w:r>
    </w:p>
    <w:p>
      <w:pPr>
        <w:spacing w:before="0" w:after="120" w:line="440" w:lineRule="exact"/>
        <w:ind w:firstLine="420"/>
        <w:jc w:val="both"/>
      </w:pPr>
      <w:r>
        <w:rPr>
          <w:rFonts w:ascii="Times New Roman" w:hAnsi="Times New Roman" w:eastAsia="宋体"/>
          <w:sz w:val="24"/>
        </w:rPr>
        <w:t>[3] 刘辛, 许慧. 政务新媒体的环境治理效应——来自环保官微发帖的证据[J]. 财经研究, 2024, 50(7): 111–125.</w:t>
      </w:r>
    </w:p>
    <w:p>
      <w:pPr>
        <w:spacing w:before="0" w:after="120" w:line="440" w:lineRule="exact"/>
        <w:ind w:firstLine="420"/>
        <w:jc w:val="both"/>
      </w:pPr>
      <w:r>
        <w:rPr>
          <w:rFonts w:ascii="Times New Roman" w:hAnsi="Times New Roman" w:eastAsia="宋体"/>
          <w:sz w:val="24"/>
        </w:rPr>
        <w:t>[4] FRITZ L, NEWIG J, CHALLIES E, et al. Public engagement for inclusive and sustainable environmental governance[J]. Nature Communications, 2024, 15: 8510.</w:t>
      </w:r>
    </w:p>
    <w:p>
      <w:pPr>
        <w:spacing w:before="0" w:after="120" w:line="440" w:lineRule="exact"/>
        <w:ind w:firstLine="420"/>
        <w:jc w:val="both"/>
      </w:pPr>
      <w:r>
        <w:rPr>
          <w:rFonts w:ascii="Times New Roman" w:hAnsi="Times New Roman" w:eastAsia="宋体"/>
          <w:sz w:val="24"/>
        </w:rPr>
        <w:t>[5] KATZ E, BLUMLER J G, GUREVITCH M. Uses and gratifications research[J]. Public Opinion Quarterly, 1973, 37(4): 509–523.</w:t>
      </w:r>
    </w:p>
    <w:p>
      <w:pPr>
        <w:spacing w:before="0" w:after="120" w:line="440" w:lineRule="exact"/>
        <w:ind w:firstLine="420"/>
        <w:jc w:val="both"/>
      </w:pPr>
      <w:r>
        <w:rPr>
          <w:rFonts w:ascii="Times New Roman" w:hAnsi="Times New Roman" w:eastAsia="宋体"/>
          <w:sz w:val="24"/>
        </w:rPr>
        <w:t>[6] LIANG H, JIA L, MENG Y, et al. Impacts of government social media on public engagement in low-carbon practices[J]. Environmental Research, 2024, 263: 120019.</w:t>
      </w:r>
    </w:p>
    <w:p>
      <w:pPr>
        <w:spacing w:before="0" w:after="120" w:line="440" w:lineRule="exact"/>
        <w:ind w:firstLine="420"/>
        <w:jc w:val="both"/>
      </w:pPr>
      <w:r>
        <w:rPr>
          <w:rFonts w:ascii="Times New Roman" w:hAnsi="Times New Roman" w:eastAsia="宋体"/>
          <w:sz w:val="24"/>
        </w:rPr>
        <w:t>[7] DETERDING S, DIXON D, KHALED R, et al. From game design elements to gamefulness: defining "gamification"[C]//Proceedings of the 15th International Academic MindTrek Conference: Envisioning Future Media Environments. New York: ACM, 2011: 9–15.</w:t>
      </w:r>
    </w:p>
    <w:p>
      <w:pPr>
        <w:spacing w:before="0" w:after="120" w:line="440" w:lineRule="exact"/>
        <w:ind w:firstLine="420"/>
        <w:jc w:val="both"/>
      </w:pPr>
      <w:r>
        <w:rPr>
          <w:rFonts w:ascii="Times New Roman" w:hAnsi="Times New Roman" w:eastAsia="宋体"/>
          <w:sz w:val="24"/>
        </w:rPr>
        <w:t>[8] RYAN R M, DECI E L. Self-determination theory and the facilitation of intrinsic motivation, social development, and well-being[J]. American Psychologist, 2000, 55(1): 68–78.</w:t>
      </w:r>
    </w:p>
    <w:p>
      <w:pPr>
        <w:spacing w:before="0" w:after="120" w:line="440" w:lineRule="exact"/>
        <w:ind w:firstLine="420"/>
        <w:jc w:val="both"/>
      </w:pPr>
      <w:r>
        <w:rPr>
          <w:rFonts w:ascii="Times New Roman" w:hAnsi="Times New Roman" w:eastAsia="宋体"/>
          <w:sz w:val="24"/>
        </w:rPr>
        <w:t>[9] ZYDA M. From visual simulation to virtual reality to games[J]. Computer, 2005, 38(9): 25–32.</w:t>
      </w:r>
    </w:p>
    <w:p>
      <w:pPr>
        <w:spacing w:before="0" w:after="120" w:line="440" w:lineRule="exact"/>
        <w:ind w:firstLine="420"/>
        <w:jc w:val="both"/>
      </w:pPr>
      <w:r>
        <w:rPr>
          <w:rFonts w:ascii="Times New Roman" w:hAnsi="Times New Roman" w:eastAsia="宋体"/>
          <w:sz w:val="24"/>
        </w:rPr>
        <w:t>[10] MORVILLE P, ROSENFELD L. Information Architecture for the World Wide Web[M]. 3rd ed. Sebastopol: O'Reilly Media, 2006.</w:t>
      </w:r>
    </w:p>
    <w:p>
      <w:pPr>
        <w:spacing w:before="0" w:after="120" w:line="440" w:lineRule="exact"/>
        <w:ind w:firstLine="420"/>
        <w:jc w:val="both"/>
      </w:pPr>
      <w:r>
        <w:rPr>
          <w:rFonts w:ascii="Times New Roman" w:hAnsi="Times New Roman" w:eastAsia="宋体"/>
          <w:sz w:val="24"/>
        </w:rPr>
        <w:t>[11] NIELSEN J. Usability Engineering[M]. San Francisco: Morgan Kaufmann, 1994.</w:t>
      </w:r>
    </w:p>
    <w:p>
      <w:pPr>
        <w:spacing w:before="0" w:after="120" w:line="440" w:lineRule="exact"/>
        <w:ind w:firstLine="420"/>
        <w:jc w:val="both"/>
      </w:pPr>
      <w:r>
        <w:rPr>
          <w:rFonts w:ascii="Times New Roman" w:hAnsi="Times New Roman" w:eastAsia="宋体"/>
          <w:sz w:val="24"/>
        </w:rPr>
        <w:t>[12] SHNEIDERMAN B, PLAISANT C. Designing the User Interface: Strategies for Effective Human-Computer Interaction[M]. 5th ed. Boston: Pearson, 2010.</w:t>
      </w:r>
    </w:p>
    <w:p>
      <w:pPr>
        <w:spacing w:before="0" w:after="120" w:line="440" w:lineRule="exact"/>
        <w:ind w:firstLine="420"/>
        <w:jc w:val="both"/>
      </w:pPr>
      <w:r>
        <w:rPr>
          <w:rFonts w:ascii="Times New Roman" w:hAnsi="Times New Roman" w:eastAsia="宋体"/>
          <w:sz w:val="24"/>
        </w:rPr>
        <w:t>[13] MCCOMBS M E, SHAW D L. The agenda-setting function of mass media[J]. Public Opinion Quarterly, 1972, 36(2): 176–187.</w:t>
      </w:r>
    </w:p>
    <w:p>
      <w:pPr>
        <w:spacing w:before="0" w:after="120" w:line="440" w:lineRule="exact"/>
        <w:ind w:firstLine="420"/>
        <w:jc w:val="both"/>
      </w:pPr>
      <w:r>
        <w:rPr>
          <w:rFonts w:ascii="Times New Roman" w:hAnsi="Times New Roman" w:eastAsia="宋体"/>
          <w:sz w:val="24"/>
        </w:rPr>
        <w:t>[14] SAFFER D. Microinteractions: Designing with Details[M]. Sebastopol: O'Reilly Media, 2013.</w:t>
      </w:r>
    </w:p>
    <w:p>
      <w:pPr>
        <w:spacing w:before="0" w:after="120" w:line="440" w:lineRule="exact"/>
        <w:ind w:firstLine="420"/>
        <w:jc w:val="both"/>
      </w:pPr>
      <w:r>
        <w:rPr>
          <w:rFonts w:ascii="Times New Roman" w:hAnsi="Times New Roman" w:eastAsia="宋体"/>
          <w:sz w:val="24"/>
        </w:rPr>
        <w:t>[15] TAJFEL H, TURNER J C. An integrative theory of intergroup conflict[M]//AUSTIN W G, WORCHEL S. The Social Psychology of Intergroup Relations. Monterey: Brooks/Cole, 1979: 33–47.</w:t>
      </w:r>
    </w:p>
    <w:p>
      <w:pPr>
        <w:spacing w:before="0" w:after="120" w:line="440" w:lineRule="exact"/>
        <w:ind w:firstLine="420"/>
        <w:jc w:val="both"/>
      </w:pPr>
      <w:r>
        <w:rPr>
          <w:rFonts w:ascii="Times New Roman" w:hAnsi="Times New Roman" w:eastAsia="宋体"/>
          <w:sz w:val="24"/>
        </w:rPr>
        <w:t>[16] WHARTON C, RIEMAN J, LEWIS C, et al. The cognitive walkthrough method: a practitioner's guide[M]//NIELSEN J, MACK R L. Usability Inspection Methods. New York: Wiley, 1994: 105–140.</w:t>
      </w:r>
    </w:p>
    <w:p>
      <w:pPr>
        <w:spacing w:before="0" w:after="120" w:line="440" w:lineRule="exact"/>
        <w:ind w:firstLine="420"/>
        <w:jc w:val="both"/>
      </w:pPr>
      <w:r>
        <w:rPr>
          <w:rFonts w:ascii="Times New Roman" w:hAnsi="Times New Roman" w:eastAsia="宋体"/>
          <w:sz w:val="24"/>
        </w:rPr>
        <w:t>[17] PETTY R E, CACIOPPO J T. Communication and Persuasion: Central and Peripheral Routes to Attitude Change[M]. New York: Springer-Verlag, 1986.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