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F6" w:rsidRDefault="00CB29F6">
      <w:pPr>
        <w:rPr>
          <w:sz w:val="96"/>
          <w:szCs w:val="96"/>
        </w:rPr>
      </w:pPr>
    </w:p>
    <w:p w:rsidR="00CB29F6" w:rsidRDefault="00CB29F6">
      <w:pPr>
        <w:rPr>
          <w:sz w:val="96"/>
          <w:szCs w:val="96"/>
        </w:rPr>
      </w:pPr>
    </w:p>
    <w:p w:rsidR="00CB29F6" w:rsidRDefault="00CB29F6">
      <w:pPr>
        <w:rPr>
          <w:sz w:val="96"/>
          <w:szCs w:val="96"/>
        </w:rPr>
      </w:pPr>
    </w:p>
    <w:p w:rsidR="00F91863" w:rsidRDefault="00893784">
      <w:pPr>
        <w:jc w:val="center"/>
        <w:rPr>
          <w:rFonts w:ascii="Tahoma" w:hAnsi="Tahoma" w:cs="Tahoma"/>
          <w:sz w:val="40"/>
          <w:szCs w:val="96"/>
        </w:rPr>
      </w:pPr>
      <w:r>
        <w:rPr>
          <w:rFonts w:ascii="Tahoma" w:hAnsi="Tahoma" w:cs="Tahoma"/>
          <w:b/>
          <w:sz w:val="56"/>
          <w:szCs w:val="96"/>
        </w:rPr>
        <w:t>Security Policy</w:t>
      </w:r>
    </w:p>
    <w:p w:rsidR="00760308" w:rsidRDefault="00760308">
      <w:pPr>
        <w:jc w:val="center"/>
        <w:rPr>
          <w:rFonts w:ascii="Tahoma" w:hAnsi="Tahoma" w:cs="Tahoma"/>
          <w:sz w:val="96"/>
          <w:szCs w:val="96"/>
        </w:rPr>
      </w:pPr>
    </w:p>
    <w:p w:rsidR="00804ECE" w:rsidRPr="00760308" w:rsidRDefault="00804ECE">
      <w:pPr>
        <w:jc w:val="center"/>
        <w:rPr>
          <w:rFonts w:ascii="Tahoma" w:hAnsi="Tahoma" w:cs="Tahoma"/>
          <w:sz w:val="32"/>
          <w:szCs w:val="40"/>
        </w:rPr>
      </w:pPr>
    </w:p>
    <w:p w:rsidR="00893784" w:rsidRDefault="00893784">
      <w:pPr>
        <w:jc w:val="center"/>
        <w:rPr>
          <w:rFonts w:ascii="Tahoma" w:hAnsi="Tahoma" w:cs="Tahoma"/>
          <w:sz w:val="32"/>
          <w:szCs w:val="40"/>
        </w:rPr>
      </w:pPr>
    </w:p>
    <w:p w:rsidR="00893784" w:rsidRDefault="00893784">
      <w:pPr>
        <w:jc w:val="center"/>
        <w:rPr>
          <w:rFonts w:ascii="Tahoma" w:hAnsi="Tahoma" w:cs="Tahoma"/>
          <w:sz w:val="32"/>
          <w:szCs w:val="40"/>
        </w:rPr>
      </w:pPr>
    </w:p>
    <w:p w:rsidR="00893784" w:rsidRDefault="00893784">
      <w:pPr>
        <w:jc w:val="center"/>
        <w:rPr>
          <w:rFonts w:ascii="Tahoma" w:hAnsi="Tahoma" w:cs="Tahoma"/>
          <w:sz w:val="32"/>
          <w:szCs w:val="40"/>
        </w:rPr>
      </w:pPr>
    </w:p>
    <w:p w:rsidR="00893784" w:rsidRDefault="00893784">
      <w:pPr>
        <w:jc w:val="center"/>
        <w:rPr>
          <w:rFonts w:ascii="Tahoma" w:hAnsi="Tahoma" w:cs="Tahoma"/>
          <w:sz w:val="32"/>
          <w:szCs w:val="40"/>
        </w:rPr>
      </w:pPr>
    </w:p>
    <w:p w:rsidR="00760308" w:rsidRDefault="00760308">
      <w:pPr>
        <w:jc w:val="center"/>
        <w:rPr>
          <w:rFonts w:ascii="Tahoma" w:hAnsi="Tahoma" w:cs="Tahoma"/>
          <w:sz w:val="32"/>
          <w:szCs w:val="40"/>
        </w:rPr>
      </w:pPr>
      <w:r w:rsidRPr="00760308">
        <w:rPr>
          <w:rFonts w:ascii="Tahoma" w:hAnsi="Tahoma" w:cs="Tahoma"/>
          <w:sz w:val="32"/>
          <w:szCs w:val="40"/>
        </w:rPr>
        <w:t xml:space="preserve">Created by </w:t>
      </w:r>
    </w:p>
    <w:p w:rsidR="00760308" w:rsidRPr="00760308" w:rsidRDefault="00760308">
      <w:pPr>
        <w:jc w:val="center"/>
        <w:rPr>
          <w:rFonts w:ascii="Tahoma" w:hAnsi="Tahoma" w:cs="Tahoma"/>
          <w:sz w:val="32"/>
          <w:szCs w:val="40"/>
        </w:rPr>
      </w:pPr>
    </w:p>
    <w:p w:rsidR="00760308" w:rsidRDefault="00760308">
      <w:pPr>
        <w:jc w:val="center"/>
        <w:rPr>
          <w:rFonts w:ascii="Tahoma" w:hAnsi="Tahoma" w:cs="Tahoma"/>
          <w:sz w:val="40"/>
          <w:szCs w:val="40"/>
        </w:rPr>
      </w:pPr>
    </w:p>
    <w:p w:rsidR="00893784" w:rsidRDefault="00893784">
      <w:pPr>
        <w:jc w:val="center"/>
        <w:rPr>
          <w:rFonts w:ascii="Tahoma" w:hAnsi="Tahoma" w:cs="Tahoma"/>
          <w:b/>
          <w:sz w:val="48"/>
          <w:szCs w:val="40"/>
        </w:rPr>
      </w:pPr>
    </w:p>
    <w:p w:rsidR="00893784" w:rsidRDefault="00893784">
      <w:pPr>
        <w:jc w:val="center"/>
        <w:rPr>
          <w:rFonts w:ascii="Tahoma" w:hAnsi="Tahoma" w:cs="Tahoma"/>
          <w:b/>
          <w:sz w:val="48"/>
          <w:szCs w:val="40"/>
        </w:rPr>
      </w:pPr>
    </w:p>
    <w:p w:rsidR="00893784" w:rsidRDefault="00893784">
      <w:pPr>
        <w:jc w:val="center"/>
        <w:rPr>
          <w:rFonts w:ascii="Tahoma" w:hAnsi="Tahoma" w:cs="Tahoma"/>
          <w:b/>
          <w:sz w:val="48"/>
          <w:szCs w:val="40"/>
        </w:rPr>
      </w:pPr>
    </w:p>
    <w:p w:rsidR="00760308" w:rsidRPr="00760308" w:rsidRDefault="00760308">
      <w:pPr>
        <w:jc w:val="center"/>
        <w:rPr>
          <w:rFonts w:ascii="Tahoma" w:hAnsi="Tahoma" w:cs="Tahoma"/>
          <w:b/>
          <w:sz w:val="48"/>
          <w:szCs w:val="40"/>
        </w:rPr>
      </w:pPr>
      <w:r w:rsidRPr="00760308">
        <w:rPr>
          <w:rFonts w:ascii="Tahoma" w:hAnsi="Tahoma" w:cs="Tahoma"/>
          <w:b/>
          <w:sz w:val="48"/>
          <w:szCs w:val="40"/>
        </w:rPr>
        <w:t xml:space="preserve">UPTOWN IT </w:t>
      </w:r>
    </w:p>
    <w:p w:rsidR="00760308" w:rsidRDefault="00760308">
      <w:pPr>
        <w:jc w:val="center"/>
        <w:rPr>
          <w:rFonts w:ascii="Tahoma" w:hAnsi="Tahoma" w:cs="Tahoma"/>
          <w:sz w:val="40"/>
          <w:szCs w:val="40"/>
        </w:rPr>
      </w:pPr>
    </w:p>
    <w:p w:rsidR="00760308" w:rsidRDefault="00760308">
      <w:pPr>
        <w:jc w:val="center"/>
        <w:rPr>
          <w:rFonts w:ascii="Tahoma" w:hAnsi="Tahoma" w:cs="Tahoma"/>
          <w:sz w:val="40"/>
          <w:szCs w:val="40"/>
        </w:rPr>
      </w:pPr>
    </w:p>
    <w:p w:rsidR="00EF10D3" w:rsidRDefault="00EF10D3" w:rsidP="001A3A44">
      <w:pPr>
        <w:tabs>
          <w:tab w:val="left" w:pos="2552"/>
        </w:tabs>
        <w:rPr>
          <w:b/>
          <w:sz w:val="28"/>
          <w:szCs w:val="28"/>
        </w:rPr>
      </w:pPr>
    </w:p>
    <w:p w:rsidR="00EF10D3" w:rsidRDefault="00EF10D3" w:rsidP="001A3A44">
      <w:pPr>
        <w:tabs>
          <w:tab w:val="left" w:pos="2552"/>
        </w:tabs>
        <w:rPr>
          <w:b/>
          <w:sz w:val="28"/>
          <w:szCs w:val="28"/>
        </w:rPr>
      </w:pPr>
    </w:p>
    <w:p w:rsidR="00EF10D3" w:rsidRDefault="00EF10D3" w:rsidP="001A3A44">
      <w:pPr>
        <w:tabs>
          <w:tab w:val="left" w:pos="2552"/>
        </w:tabs>
        <w:rPr>
          <w:b/>
          <w:sz w:val="28"/>
          <w:szCs w:val="28"/>
        </w:rPr>
      </w:pPr>
    </w:p>
    <w:p w:rsidR="00760308" w:rsidRDefault="00760308" w:rsidP="001A3A44">
      <w:pPr>
        <w:tabs>
          <w:tab w:val="left" w:pos="2552"/>
        </w:tabs>
        <w:rPr>
          <w:b/>
          <w:sz w:val="28"/>
          <w:szCs w:val="28"/>
        </w:rPr>
      </w:pPr>
    </w:p>
    <w:p w:rsidR="00760308" w:rsidRDefault="00760308" w:rsidP="001A3A44">
      <w:pPr>
        <w:tabs>
          <w:tab w:val="left" w:pos="2552"/>
        </w:tabs>
        <w:rPr>
          <w:b/>
          <w:sz w:val="28"/>
          <w:szCs w:val="28"/>
        </w:rPr>
      </w:pPr>
    </w:p>
    <w:p w:rsidR="00760308" w:rsidRDefault="00760308" w:rsidP="001A3A44">
      <w:pPr>
        <w:tabs>
          <w:tab w:val="left" w:pos="25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PROJECT REFERENCE:</w:t>
      </w:r>
    </w:p>
    <w:p w:rsidR="007B344D" w:rsidRDefault="00760308" w:rsidP="001A3A44">
      <w:pPr>
        <w:tabs>
          <w:tab w:val="left" w:pos="25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760308" w:rsidRDefault="00760308" w:rsidP="00E81220">
      <w:pPr>
        <w:pStyle w:val="TOCHeading"/>
      </w:pPr>
    </w:p>
    <w:p w:rsidR="00BA43D0" w:rsidRDefault="00486AD1">
      <w:pPr>
        <w:overflowPunct/>
        <w:autoSpaceDE/>
        <w:autoSpaceDN/>
        <w:adjustRightInd/>
        <w:textAlignment w:val="auto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Contents</w:t>
      </w:r>
    </w:p>
    <w:p w:rsidR="00486AD1" w:rsidRPr="009411B3" w:rsidRDefault="00486AD1">
      <w:pPr>
        <w:overflowPunct/>
        <w:autoSpaceDE/>
        <w:autoSpaceDN/>
        <w:adjustRightInd/>
        <w:textAlignment w:val="auto"/>
        <w:rPr>
          <w:rFonts w:ascii="Tahoma" w:hAnsi="Tahoma" w:cs="Tahoma"/>
          <w:sz w:val="48"/>
          <w:szCs w:val="48"/>
        </w:rPr>
      </w:pPr>
    </w:p>
    <w:p w:rsidR="001E0717" w:rsidRDefault="00486AD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097492">
        <w:rPr>
          <w:rFonts w:ascii="Tahoma" w:hAnsi="Tahoma" w:cs="Tahoma"/>
          <w:sz w:val="48"/>
          <w:szCs w:val="48"/>
        </w:rPr>
        <w:fldChar w:fldCharType="begin"/>
      </w:r>
      <w:r w:rsidRPr="00097492">
        <w:rPr>
          <w:rFonts w:ascii="Tahoma" w:hAnsi="Tahoma" w:cs="Tahoma"/>
          <w:sz w:val="48"/>
          <w:szCs w:val="48"/>
        </w:rPr>
        <w:instrText xml:space="preserve"> TOC \o "1-3" \h \z \u </w:instrText>
      </w:r>
      <w:r w:rsidRPr="00097492">
        <w:rPr>
          <w:rFonts w:ascii="Tahoma" w:hAnsi="Tahoma" w:cs="Tahoma"/>
          <w:sz w:val="48"/>
          <w:szCs w:val="48"/>
        </w:rPr>
        <w:fldChar w:fldCharType="separate"/>
      </w:r>
      <w:hyperlink w:anchor="_Toc117590287" w:history="1">
        <w:r w:rsidR="001E0717" w:rsidRPr="009F3764">
          <w:rPr>
            <w:rStyle w:val="Hyperlink"/>
            <w:rFonts w:eastAsia="Calibri"/>
          </w:rPr>
          <w:t>Revision History</w:t>
        </w:r>
        <w:r w:rsidR="001E0717">
          <w:rPr>
            <w:webHidden/>
          </w:rPr>
          <w:tab/>
        </w:r>
        <w:r w:rsidR="001E0717">
          <w:rPr>
            <w:webHidden/>
          </w:rPr>
          <w:fldChar w:fldCharType="begin"/>
        </w:r>
        <w:r w:rsidR="001E0717">
          <w:rPr>
            <w:webHidden/>
          </w:rPr>
          <w:instrText xml:space="preserve"> PAGEREF _Toc117590287 \h </w:instrText>
        </w:r>
        <w:r w:rsidR="001E0717">
          <w:rPr>
            <w:webHidden/>
          </w:rPr>
        </w:r>
        <w:r w:rsidR="001E0717">
          <w:rPr>
            <w:webHidden/>
          </w:rPr>
          <w:fldChar w:fldCharType="separate"/>
        </w:r>
        <w:r w:rsidR="001E0717">
          <w:rPr>
            <w:webHidden/>
          </w:rPr>
          <w:t>2</w:t>
        </w:r>
        <w:r w:rsidR="001E0717">
          <w:rPr>
            <w:webHidden/>
          </w:rPr>
          <w:fldChar w:fldCharType="end"/>
        </w:r>
      </w:hyperlink>
    </w:p>
    <w:p w:rsidR="001E0717" w:rsidRDefault="001E071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7590288" w:history="1">
        <w:r w:rsidRPr="009F3764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F3764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_Toc117590288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E0717" w:rsidRDefault="001E071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7590289" w:history="1">
        <w:r w:rsidRPr="009F3764">
          <w:rPr>
            <w:rStyle w:val="Hyperlink"/>
            <w:rFonts w:eastAsia="MS Mincho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F3764">
          <w:rPr>
            <w:rStyle w:val="Hyperlink"/>
            <w:rFonts w:eastAsia="MS Mincho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_Toc117590289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E0717" w:rsidRDefault="001E071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7590290" w:history="1">
        <w:r w:rsidRPr="009F3764">
          <w:rPr>
            <w:rStyle w:val="Hyperlink"/>
            <w:rFonts w:eastAsia="MS Mincho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F3764">
          <w:rPr>
            <w:rStyle w:val="Hyperlink"/>
            <w:rFonts w:eastAsia="MS Mincho"/>
          </w:rPr>
          <w:t>Policy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_Toc117590290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E0717" w:rsidRDefault="001E071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590291" w:history="1">
        <w:r w:rsidRPr="009F376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3764">
          <w:rPr>
            <w:rStyle w:val="Hyperlink"/>
            <w:noProof/>
          </w:rPr>
          <w:t>Classification of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292" w:history="1">
        <w:r w:rsidRPr="009F3764">
          <w:rPr>
            <w:rStyle w:val="Hyperlink"/>
            <w:noProof/>
          </w:rPr>
          <w:t>4.2 Encryption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293" w:history="1">
        <w:r w:rsidRPr="009F3764">
          <w:rPr>
            <w:rStyle w:val="Hyperlink"/>
            <w:noProof/>
          </w:rPr>
          <w:t>4.3 Hash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294" w:history="1">
        <w:r w:rsidRPr="009F3764">
          <w:rPr>
            <w:rStyle w:val="Hyperlink"/>
            <w:noProof/>
          </w:rPr>
          <w:t>4.4 Data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295" w:history="1">
        <w:r w:rsidRPr="009F3764">
          <w:rPr>
            <w:rStyle w:val="Hyperlink"/>
            <w:noProof/>
          </w:rPr>
          <w:t>4.5 Data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296" w:history="1">
        <w:r w:rsidRPr="009F3764">
          <w:rPr>
            <w:rStyle w:val="Hyperlink"/>
            <w:noProof/>
          </w:rPr>
          <w:t>4.6 Data Deletion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297" w:history="1">
        <w:r w:rsidRPr="009F3764">
          <w:rPr>
            <w:rStyle w:val="Hyperlink"/>
            <w:noProof/>
          </w:rPr>
          <w:t>4.7 Privacy Impact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298" w:history="1">
        <w:r w:rsidRPr="009F3764">
          <w:rPr>
            <w:rStyle w:val="Hyperlink"/>
            <w:noProof/>
          </w:rPr>
          <w:t>4.8 International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299" w:history="1">
        <w:r w:rsidRPr="009F3764">
          <w:rPr>
            <w:rStyle w:val="Hyperlink"/>
            <w:noProof/>
          </w:rPr>
          <w:t>4.9 Online Account Audits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300" w:history="1">
        <w:r w:rsidRPr="009F3764">
          <w:rPr>
            <w:rStyle w:val="Hyperlink"/>
            <w:noProof/>
          </w:rPr>
          <w:t>4.10 Cyber Awareness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301" w:history="1">
        <w:r w:rsidRPr="009F3764">
          <w:rPr>
            <w:rStyle w:val="Hyperlink"/>
            <w:noProof/>
          </w:rPr>
          <w:t>4.11 Acceptable Use of Social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302" w:history="1">
        <w:r w:rsidRPr="009F3764">
          <w:rPr>
            <w:rStyle w:val="Hyperlink"/>
            <w:noProof/>
          </w:rPr>
          <w:t>4.12 Bring your own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7590303" w:history="1">
        <w:r w:rsidRPr="009F3764">
          <w:rPr>
            <w:rStyle w:val="Hyperlink"/>
            <w:rFonts w:eastAsia="MS Mincho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F3764">
          <w:rPr>
            <w:rStyle w:val="Hyperlink"/>
            <w:rFonts w:eastAsia="MS Mincho"/>
          </w:rPr>
          <w:t>Policy Compliance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_Toc117590303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304" w:history="1">
        <w:r w:rsidRPr="009F3764">
          <w:rPr>
            <w:rStyle w:val="Hyperlink"/>
            <w:noProof/>
          </w:rPr>
          <w:t>5.1 Compliance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305" w:history="1">
        <w:r w:rsidRPr="009F3764">
          <w:rPr>
            <w:rStyle w:val="Hyperlink"/>
            <w:noProof/>
          </w:rPr>
          <w:t>5.2 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90306" w:history="1">
        <w:r w:rsidRPr="009F3764">
          <w:rPr>
            <w:rStyle w:val="Hyperlink"/>
            <w:noProof/>
          </w:rPr>
          <w:t>5.3 Non-Compliance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_Toc117590306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717" w:rsidRDefault="001E071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7590307" w:history="1">
        <w:r w:rsidRPr="009F3764">
          <w:rPr>
            <w:rStyle w:val="Hyperlink"/>
            <w:rFonts w:eastAsia="MS Mincho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F3764">
          <w:rPr>
            <w:rStyle w:val="Hyperlink"/>
            <w:rFonts w:eastAsia="MS Mincho"/>
          </w:rPr>
          <w:t>Related Standards, Policies and Processes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_Toc117590307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0717" w:rsidRDefault="001E071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7590308" w:history="1">
        <w:r w:rsidRPr="009F3764">
          <w:rPr>
            <w:rStyle w:val="Hyperlink"/>
            <w:rFonts w:eastAsia="MS Mincho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F3764">
          <w:rPr>
            <w:rStyle w:val="Hyperlink"/>
            <w:rFonts w:eastAsia="MS Mincho"/>
          </w:rPr>
          <w:t>Definitions and 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_Toc117590308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6AD1" w:rsidRPr="00097492" w:rsidRDefault="00486AD1">
      <w:pPr>
        <w:rPr>
          <w:rFonts w:ascii="Tahoma" w:hAnsi="Tahoma" w:cs="Tahoma"/>
          <w:sz w:val="48"/>
          <w:szCs w:val="48"/>
        </w:rPr>
      </w:pPr>
      <w:r w:rsidRPr="00097492">
        <w:rPr>
          <w:rFonts w:ascii="Tahoma" w:hAnsi="Tahoma" w:cs="Tahoma"/>
          <w:sz w:val="48"/>
          <w:szCs w:val="48"/>
        </w:rPr>
        <w:fldChar w:fldCharType="end"/>
      </w:r>
    </w:p>
    <w:p w:rsidR="00CB29F6" w:rsidRPr="00097492" w:rsidRDefault="00CB29F6"/>
    <w:p w:rsidR="00486AD1" w:rsidRPr="00097492" w:rsidRDefault="00486AD1" w:rsidP="00E81220">
      <w:pPr>
        <w:pStyle w:val="TOC2"/>
        <w:rPr>
          <w:rFonts w:eastAsia="Calibri"/>
        </w:rPr>
      </w:pPr>
      <w:bookmarkStart w:id="0" w:name="_Toc515785685"/>
      <w:r w:rsidRPr="00097492">
        <w:rPr>
          <w:rFonts w:eastAsia="Calibri"/>
        </w:rPr>
        <w:br w:type="page"/>
      </w:r>
      <w:bookmarkStart w:id="1" w:name="_GoBack"/>
      <w:bookmarkEnd w:id="1"/>
    </w:p>
    <w:bookmarkEnd w:id="0"/>
    <w:p w:rsidR="00CB29F6" w:rsidRPr="004372FC" w:rsidRDefault="00CB29F6" w:rsidP="00085617">
      <w:pPr>
        <w:rPr>
          <w:rFonts w:cs="Arial"/>
          <w:color w:val="000000"/>
          <w:szCs w:val="22"/>
        </w:rPr>
      </w:pPr>
    </w:p>
    <w:p w:rsidR="00893784" w:rsidRDefault="00893784" w:rsidP="00893784">
      <w:pPr>
        <w:pStyle w:val="Heading1"/>
        <w:pBdr>
          <w:bottom w:val="none" w:sz="0" w:space="0" w:color="auto"/>
        </w:pBdr>
        <w:overflowPunct/>
        <w:autoSpaceDE/>
        <w:autoSpaceDN/>
        <w:adjustRightInd/>
        <w:spacing w:before="120"/>
        <w:textAlignment w:val="auto"/>
        <w:rPr>
          <w:rFonts w:eastAsia="Calibri"/>
        </w:rPr>
      </w:pPr>
      <w:bookmarkStart w:id="2" w:name="_Toc515785691"/>
      <w:bookmarkStart w:id="3" w:name="_Toc117590287"/>
      <w:r>
        <w:rPr>
          <w:rFonts w:eastAsia="Calibri"/>
        </w:rPr>
        <w:t>Revision History</w:t>
      </w:r>
      <w:bookmarkEnd w:id="3"/>
    </w:p>
    <w:p w:rsidR="00893784" w:rsidRPr="00004F46" w:rsidRDefault="00893784" w:rsidP="00893784">
      <w:pPr>
        <w:rPr>
          <w:lang w:val="en-US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2263"/>
        <w:gridCol w:w="2268"/>
        <w:gridCol w:w="2977"/>
        <w:gridCol w:w="2174"/>
      </w:tblGrid>
      <w:tr w:rsidR="00893784" w:rsidRPr="00004F46" w:rsidTr="00893784">
        <w:trPr>
          <w:trHeight w:val="345"/>
        </w:trPr>
        <w:tc>
          <w:tcPr>
            <w:tcW w:w="2263" w:type="dxa"/>
            <w:hideMark/>
          </w:tcPr>
          <w:p w:rsidR="00893784" w:rsidRPr="00004F46" w:rsidRDefault="00893784" w:rsidP="00310318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  <w:hideMark/>
          </w:tcPr>
          <w:p w:rsidR="00893784" w:rsidRPr="00004F46" w:rsidRDefault="00893784" w:rsidP="00310318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2977" w:type="dxa"/>
            <w:hideMark/>
          </w:tcPr>
          <w:p w:rsidR="00893784" w:rsidRPr="00004F46" w:rsidRDefault="00893784" w:rsidP="00310318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SUMMARY of CHANGE</w:t>
            </w:r>
          </w:p>
        </w:tc>
        <w:tc>
          <w:tcPr>
            <w:tcW w:w="2174" w:type="dxa"/>
          </w:tcPr>
          <w:p w:rsidR="00893784" w:rsidRPr="00004F46" w:rsidRDefault="00893784" w:rsidP="00310318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APPROVED BY</w:t>
            </w:r>
          </w:p>
        </w:tc>
      </w:tr>
      <w:tr w:rsidR="00893784" w:rsidRPr="00004F46" w:rsidTr="00893784">
        <w:trPr>
          <w:trHeight w:val="513"/>
        </w:trPr>
        <w:tc>
          <w:tcPr>
            <w:tcW w:w="2263" w:type="dxa"/>
            <w:hideMark/>
          </w:tcPr>
          <w:p w:rsidR="00893784" w:rsidRPr="00004F46" w:rsidRDefault="00893784" w:rsidP="00310318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93784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Oct 2022</w:t>
            </w:r>
          </w:p>
        </w:tc>
        <w:tc>
          <w:tcPr>
            <w:tcW w:w="2268" w:type="dxa"/>
            <w:hideMark/>
          </w:tcPr>
          <w:p w:rsidR="00893784" w:rsidRPr="00004F46" w:rsidRDefault="00893784" w:rsidP="00310318">
            <w:pPr>
              <w:pStyle w:val="Tabletext0"/>
              <w:rPr>
                <w:lang w:val="en-US"/>
              </w:rPr>
            </w:pPr>
            <w:r>
              <w:t>George Brown</w:t>
            </w:r>
          </w:p>
        </w:tc>
        <w:tc>
          <w:tcPr>
            <w:tcW w:w="2977" w:type="dxa"/>
            <w:hideMark/>
          </w:tcPr>
          <w:p w:rsidR="00893784" w:rsidRPr="00004F46" w:rsidRDefault="00893784" w:rsidP="00310318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2174" w:type="dxa"/>
          </w:tcPr>
          <w:p w:rsidR="00893784" w:rsidRDefault="00893784" w:rsidP="00310318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893784" w:rsidRPr="00004F46" w:rsidTr="00893784">
        <w:trPr>
          <w:trHeight w:val="374"/>
        </w:trPr>
        <w:tc>
          <w:tcPr>
            <w:tcW w:w="2263" w:type="dxa"/>
          </w:tcPr>
          <w:p w:rsidR="00893784" w:rsidRPr="00004F46" w:rsidRDefault="00893784" w:rsidP="00310318">
            <w:pPr>
              <w:pStyle w:val="Tabletext0"/>
              <w:rPr>
                <w:lang w:val="en-US"/>
              </w:rPr>
            </w:pPr>
          </w:p>
        </w:tc>
        <w:tc>
          <w:tcPr>
            <w:tcW w:w="2268" w:type="dxa"/>
          </w:tcPr>
          <w:p w:rsidR="00893784" w:rsidRPr="00004F46" w:rsidRDefault="00893784" w:rsidP="00310318">
            <w:pPr>
              <w:pStyle w:val="Tabletext0"/>
              <w:rPr>
                <w:lang w:val="en-US"/>
              </w:rPr>
            </w:pPr>
          </w:p>
        </w:tc>
        <w:tc>
          <w:tcPr>
            <w:tcW w:w="2977" w:type="dxa"/>
          </w:tcPr>
          <w:p w:rsidR="00893784" w:rsidRPr="00004F46" w:rsidRDefault="00893784" w:rsidP="00310318">
            <w:pPr>
              <w:pStyle w:val="Tabletext0"/>
              <w:rPr>
                <w:lang w:val="en-US"/>
              </w:rPr>
            </w:pPr>
          </w:p>
        </w:tc>
        <w:tc>
          <w:tcPr>
            <w:tcW w:w="2174" w:type="dxa"/>
          </w:tcPr>
          <w:p w:rsidR="00893784" w:rsidRPr="00004F46" w:rsidRDefault="00893784" w:rsidP="00310318">
            <w:pPr>
              <w:pStyle w:val="Tabletext0"/>
              <w:rPr>
                <w:lang w:val="en-US"/>
              </w:rPr>
            </w:pPr>
          </w:p>
        </w:tc>
      </w:tr>
    </w:tbl>
    <w:p w:rsidR="00893784" w:rsidRPr="00004F46" w:rsidRDefault="00893784" w:rsidP="00893784">
      <w:pPr>
        <w:rPr>
          <w:lang w:val="en-US"/>
        </w:rPr>
      </w:pPr>
    </w:p>
    <w:p w:rsidR="00893784" w:rsidRPr="00BD778E" w:rsidRDefault="00893784" w:rsidP="00893784">
      <w:pPr>
        <w:rPr>
          <w:lang w:val="en-US"/>
        </w:rPr>
      </w:pPr>
    </w:p>
    <w:p w:rsidR="00893784" w:rsidRDefault="00893784" w:rsidP="00893784">
      <w:pPr>
        <w:rPr>
          <w:lang w:val="en-US"/>
        </w:rPr>
      </w:pPr>
    </w:p>
    <w:p w:rsidR="00893784" w:rsidRDefault="00893784">
      <w:pPr>
        <w:overflowPunct/>
        <w:autoSpaceDE/>
        <w:autoSpaceDN/>
        <w:adjustRightInd/>
        <w:textAlignment w:val="auto"/>
        <w:rPr>
          <w:rStyle w:val="eop"/>
          <w:color w:val="1F4E79" w:themeColor="accent1" w:themeShade="80"/>
        </w:rPr>
      </w:pPr>
      <w:r>
        <w:rPr>
          <w:rStyle w:val="eop"/>
          <w:color w:val="1F4E79" w:themeColor="accent1" w:themeShade="80"/>
        </w:rPr>
        <w:br w:type="page"/>
      </w:r>
    </w:p>
    <w:p w:rsidR="00EF10D3" w:rsidRDefault="00EF10D3" w:rsidP="00EF10D3">
      <w:pPr>
        <w:rPr>
          <w:rStyle w:val="eop"/>
          <w:color w:val="1F4E79" w:themeColor="accent1" w:themeShade="80"/>
        </w:rPr>
      </w:pPr>
    </w:p>
    <w:p w:rsidR="00893784" w:rsidRDefault="00893784" w:rsidP="00893784">
      <w:pPr>
        <w:pStyle w:val="Heading1"/>
        <w:numPr>
          <w:ilvl w:val="0"/>
          <w:numId w:val="48"/>
        </w:numPr>
        <w:pBdr>
          <w:bottom w:val="none" w:sz="0" w:space="0" w:color="auto"/>
        </w:pBdr>
        <w:overflowPunct/>
        <w:autoSpaceDE/>
        <w:autoSpaceDN/>
        <w:adjustRightInd/>
        <w:spacing w:before="120" w:line="276" w:lineRule="auto"/>
        <w:ind w:left="142" w:hanging="142"/>
        <w:textAlignment w:val="auto"/>
      </w:pPr>
      <w:bookmarkStart w:id="4" w:name="_Toc117590288"/>
      <w:bookmarkEnd w:id="2"/>
      <w:r>
        <w:t>Purpose</w:t>
      </w:r>
      <w:bookmarkEnd w:id="4"/>
    </w:p>
    <w:p w:rsidR="00893784" w:rsidRDefault="00893784" w:rsidP="00893784">
      <w:pPr>
        <w:spacing w:line="276" w:lineRule="auto"/>
      </w:pPr>
      <w:r>
        <w:t xml:space="preserve">The purpose of this policy is to provide guidance on how </w:t>
      </w:r>
      <w:r>
        <w:t xml:space="preserve">MidTown IT </w:t>
      </w:r>
      <w:r>
        <w:t xml:space="preserve">classifies, labels, and restricts access to, sensitive data. How </w:t>
      </w:r>
      <w:r>
        <w:t xml:space="preserve">MidTown IT </w:t>
      </w:r>
      <w:r>
        <w:t>and employees’ store, transfer and ensure data integrity of sensitive data. It will also provide guidance on adhering to onshore and offshore data protection standards and legislation.</w:t>
      </w:r>
    </w:p>
    <w:p w:rsidR="00893784" w:rsidRDefault="00893784" w:rsidP="00893784">
      <w:pPr>
        <w:pStyle w:val="PlainText"/>
        <w:spacing w:line="276" w:lineRule="auto"/>
        <w:rPr>
          <w:rFonts w:ascii="Times New Roman" w:eastAsia="MS Mincho" w:hAnsi="Times New Roman"/>
          <w:sz w:val="24"/>
          <w:szCs w:val="24"/>
        </w:rPr>
      </w:pPr>
    </w:p>
    <w:p w:rsidR="00893784" w:rsidRDefault="00893784" w:rsidP="00893784">
      <w:pPr>
        <w:pStyle w:val="Heading1"/>
        <w:numPr>
          <w:ilvl w:val="0"/>
          <w:numId w:val="48"/>
        </w:numPr>
        <w:pBdr>
          <w:bottom w:val="none" w:sz="0" w:space="0" w:color="auto"/>
        </w:pBdr>
        <w:overflowPunct/>
        <w:autoSpaceDE/>
        <w:autoSpaceDN/>
        <w:adjustRightInd/>
        <w:spacing w:before="120" w:line="276" w:lineRule="auto"/>
        <w:ind w:left="142" w:hanging="142"/>
        <w:textAlignment w:val="auto"/>
        <w:rPr>
          <w:rFonts w:eastAsia="MS Mincho"/>
        </w:rPr>
      </w:pPr>
      <w:bookmarkStart w:id="5" w:name="_Toc117590289"/>
      <w:r>
        <w:rPr>
          <w:rFonts w:eastAsia="MS Mincho"/>
        </w:rPr>
        <w:t>Scope</w:t>
      </w:r>
      <w:bookmarkEnd w:id="5"/>
    </w:p>
    <w:p w:rsidR="00893784" w:rsidRPr="00BD778E" w:rsidRDefault="00893784" w:rsidP="00893784">
      <w:pPr>
        <w:spacing w:line="276" w:lineRule="auto"/>
        <w:rPr>
          <w:rFonts w:ascii="Times New Roman" w:hAnsi="Times New Roman"/>
          <w:sz w:val="24"/>
        </w:rPr>
      </w:pPr>
      <w:r>
        <w:rPr>
          <w:rFonts w:eastAsia="MS Mincho"/>
          <w:szCs w:val="24"/>
        </w:rPr>
        <w:t xml:space="preserve">This policy applies to all </w:t>
      </w:r>
      <w:r>
        <w:rPr>
          <w:rFonts w:eastAsia="MS Mincho"/>
          <w:szCs w:val="24"/>
        </w:rPr>
        <w:t xml:space="preserve">MidTown IT </w:t>
      </w:r>
      <w:r>
        <w:rPr>
          <w:rFonts w:eastAsia="MS Mincho"/>
          <w:szCs w:val="24"/>
        </w:rPr>
        <w:t>employees and affiliates.</w:t>
      </w:r>
    </w:p>
    <w:p w:rsidR="00893784" w:rsidRDefault="00893784" w:rsidP="001D05D3">
      <w:pPr>
        <w:pStyle w:val="Heading1"/>
        <w:numPr>
          <w:ilvl w:val="0"/>
          <w:numId w:val="48"/>
        </w:numPr>
        <w:pBdr>
          <w:bottom w:val="none" w:sz="0" w:space="0" w:color="auto"/>
        </w:pBdr>
        <w:overflowPunct/>
        <w:autoSpaceDE/>
        <w:autoSpaceDN/>
        <w:adjustRightInd/>
        <w:spacing w:before="120" w:line="276" w:lineRule="auto"/>
        <w:ind w:left="709" w:hanging="709"/>
        <w:textAlignment w:val="auto"/>
        <w:rPr>
          <w:rFonts w:eastAsia="MS Mincho"/>
        </w:rPr>
      </w:pPr>
      <w:bookmarkStart w:id="6" w:name="_Toc117590290"/>
      <w:r>
        <w:rPr>
          <w:rFonts w:eastAsia="MS Mincho"/>
        </w:rPr>
        <w:t>Policy</w:t>
      </w:r>
      <w:bookmarkEnd w:id="6"/>
    </w:p>
    <w:p w:rsidR="00893784" w:rsidRDefault="00893784" w:rsidP="00893784">
      <w:pPr>
        <w:pStyle w:val="Heading2"/>
        <w:numPr>
          <w:ilvl w:val="1"/>
          <w:numId w:val="48"/>
        </w:numPr>
        <w:tabs>
          <w:tab w:val="clear" w:pos="851"/>
        </w:tabs>
        <w:overflowPunct/>
        <w:autoSpaceDE/>
        <w:autoSpaceDN/>
        <w:adjustRightInd/>
        <w:spacing w:line="276" w:lineRule="auto"/>
        <w:textAlignment w:val="auto"/>
      </w:pPr>
      <w:bookmarkStart w:id="7" w:name="_Toc117590291"/>
      <w:r>
        <w:t>Classification of Data</w:t>
      </w:r>
      <w:bookmarkEnd w:id="7"/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All </w:t>
      </w:r>
      <w:r>
        <w:rPr>
          <w:lang w:val="en-US"/>
        </w:rPr>
        <w:t xml:space="preserve">MidTown IT </w:t>
      </w:r>
      <w:r>
        <w:rPr>
          <w:lang w:val="en-US"/>
        </w:rPr>
        <w:t>data transmitted, received or stored is required to be identified and classified as Un</w:t>
      </w:r>
      <w:r w:rsidR="001D05D3">
        <w:rPr>
          <w:lang w:val="en-US"/>
        </w:rPr>
        <w:t>official, Official or Official-</w:t>
      </w:r>
      <w:r>
        <w:rPr>
          <w:lang w:val="en-US"/>
        </w:rPr>
        <w:t>Sensitive</w:t>
      </w:r>
    </w:p>
    <w:p w:rsidR="001D05D3" w:rsidRPr="00057831" w:rsidRDefault="001D05D3" w:rsidP="00893784">
      <w:pPr>
        <w:spacing w:line="276" w:lineRule="auto"/>
        <w:ind w:left="720"/>
        <w:rPr>
          <w:lang w:val="en-US"/>
        </w:rPr>
      </w:pPr>
    </w:p>
    <w:p w:rsidR="00893784" w:rsidRPr="00057831" w:rsidRDefault="00893784" w:rsidP="00893784">
      <w:pPr>
        <w:spacing w:line="276" w:lineRule="auto"/>
        <w:ind w:left="720"/>
        <w:rPr>
          <w:lang w:val="en-US"/>
        </w:rPr>
      </w:pPr>
      <w:r w:rsidRPr="00057831">
        <w:rPr>
          <w:lang w:val="en-US"/>
        </w:rPr>
        <w:t>All Unofficial data, documents and/or removable drives that hold this data do not require to be labeled or have access restricted. Unofficial data does not require to have storage location tracked.</w:t>
      </w:r>
    </w:p>
    <w:p w:rsidR="001D05D3" w:rsidRDefault="001D05D3" w:rsidP="00893784">
      <w:pPr>
        <w:spacing w:line="276" w:lineRule="auto"/>
        <w:ind w:left="720"/>
        <w:rPr>
          <w:lang w:val="en-US"/>
        </w:rPr>
      </w:pP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All Official data, documents and/or removable drives that hold this data </w:t>
      </w:r>
      <w:r w:rsidR="001D05D3">
        <w:rPr>
          <w:lang w:val="en-US"/>
        </w:rPr>
        <w:t>must</w:t>
      </w:r>
      <w:r>
        <w:rPr>
          <w:lang w:val="en-US"/>
        </w:rPr>
        <w:t xml:space="preserve"> be labeled with a Yellow label but </w:t>
      </w:r>
      <w:r w:rsidR="001D05D3">
        <w:rPr>
          <w:lang w:val="en-US"/>
        </w:rPr>
        <w:t>do</w:t>
      </w:r>
      <w:r>
        <w:rPr>
          <w:lang w:val="en-US"/>
        </w:rPr>
        <w:t xml:space="preserve"> not require restricted access. Official data requires tracking of </w:t>
      </w:r>
      <w:r w:rsidR="001D05D3">
        <w:rPr>
          <w:lang w:val="en-US"/>
        </w:rPr>
        <w:t xml:space="preserve">the </w:t>
      </w:r>
      <w:r>
        <w:rPr>
          <w:lang w:val="en-US"/>
        </w:rPr>
        <w:t>current storage location</w:t>
      </w:r>
    </w:p>
    <w:p w:rsidR="001D05D3" w:rsidRDefault="001D05D3" w:rsidP="00893784">
      <w:pPr>
        <w:spacing w:line="276" w:lineRule="auto"/>
        <w:ind w:left="720"/>
        <w:rPr>
          <w:lang w:val="en-US"/>
        </w:rPr>
      </w:pPr>
    </w:p>
    <w:p w:rsidR="00893784" w:rsidRDefault="001D05D3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All Official-</w:t>
      </w:r>
      <w:r w:rsidR="00893784">
        <w:rPr>
          <w:lang w:val="en-US"/>
        </w:rPr>
        <w:t xml:space="preserve">Sensitive data documents and/or removable drives that hold this data require to be labeled with a Red label and </w:t>
      </w:r>
      <w:r>
        <w:rPr>
          <w:lang w:val="en-US"/>
        </w:rPr>
        <w:t>require</w:t>
      </w:r>
      <w:r w:rsidR="00893784">
        <w:rPr>
          <w:lang w:val="en-US"/>
        </w:rPr>
        <w:t xml:space="preserve"> restricted access to only </w:t>
      </w:r>
      <w:r>
        <w:rPr>
          <w:lang w:val="en-US"/>
        </w:rPr>
        <w:t>authorised employees. Official-</w:t>
      </w:r>
      <w:r w:rsidR="00893784">
        <w:rPr>
          <w:lang w:val="en-US"/>
        </w:rPr>
        <w:t xml:space="preserve">Sensitive data requires tracking </w:t>
      </w:r>
      <w:r>
        <w:rPr>
          <w:lang w:val="en-US"/>
        </w:rPr>
        <w:t xml:space="preserve">the </w:t>
      </w:r>
      <w:r w:rsidR="00893784">
        <w:rPr>
          <w:lang w:val="en-US"/>
        </w:rPr>
        <w:t>current storage location and audit trail of movement throughout the organisation.</w:t>
      </w:r>
    </w:p>
    <w:p w:rsidR="00893784" w:rsidRDefault="00893784" w:rsidP="00893784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4425" w:type="pct"/>
        <w:tblCellSpacing w:w="0" w:type="dxa"/>
        <w:tblInd w:w="102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2022"/>
        <w:gridCol w:w="4150"/>
      </w:tblGrid>
      <w:tr w:rsidR="00893784" w:rsidRPr="008B5E72" w:rsidTr="001D05D3">
        <w:trPr>
          <w:tblCellSpacing w:w="0" w:type="dxa"/>
        </w:trPr>
        <w:tc>
          <w:tcPr>
            <w:tcW w:w="1909" w:type="dxa"/>
            <w:hideMark/>
          </w:tcPr>
          <w:p w:rsidR="00893784" w:rsidRPr="001D05D3" w:rsidRDefault="00893784" w:rsidP="00893784">
            <w:pPr>
              <w:pStyle w:val="Tableheading"/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lastRenderedPageBreak/>
              <w:t>Protective marking</w:t>
            </w:r>
          </w:p>
        </w:tc>
        <w:tc>
          <w:tcPr>
            <w:tcW w:w="2271" w:type="dxa"/>
            <w:hideMark/>
          </w:tcPr>
          <w:p w:rsidR="00893784" w:rsidRPr="001D05D3" w:rsidRDefault="00893784" w:rsidP="00893784">
            <w:pPr>
              <w:pStyle w:val="Tableheading"/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Business impact level</w:t>
            </w:r>
          </w:p>
        </w:tc>
        <w:tc>
          <w:tcPr>
            <w:tcW w:w="4878" w:type="dxa"/>
            <w:hideMark/>
          </w:tcPr>
          <w:p w:rsidR="00893784" w:rsidRPr="001D05D3" w:rsidRDefault="00893784" w:rsidP="00893784">
            <w:pPr>
              <w:pStyle w:val="Tableheading"/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Compromise of information confidentiality would be expected to cause:</w:t>
            </w:r>
          </w:p>
        </w:tc>
      </w:tr>
      <w:tr w:rsidR="00893784" w:rsidRPr="008B5E72" w:rsidTr="001D05D3">
        <w:trPr>
          <w:tblCellSpacing w:w="0" w:type="dxa"/>
        </w:trPr>
        <w:tc>
          <w:tcPr>
            <w:tcW w:w="1909" w:type="dxa"/>
            <w:hideMark/>
          </w:tcPr>
          <w:p w:rsidR="00893784" w:rsidRPr="001D05D3" w:rsidRDefault="00893784" w:rsidP="001D05D3">
            <w:pPr>
              <w:pStyle w:val="Tableheading"/>
              <w:tabs>
                <w:tab w:val="clear" w:pos="1134"/>
              </w:tabs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UNOFFICIAL</w:t>
            </w:r>
          </w:p>
        </w:tc>
        <w:tc>
          <w:tcPr>
            <w:tcW w:w="2271" w:type="dxa"/>
            <w:hideMark/>
          </w:tcPr>
          <w:p w:rsidR="00893784" w:rsidRPr="001D05D3" w:rsidRDefault="00893784" w:rsidP="001D05D3">
            <w:pPr>
              <w:pStyle w:val="Tabletext0"/>
              <w:tabs>
                <w:tab w:val="clear" w:pos="1134"/>
              </w:tabs>
              <w:spacing w:line="276" w:lineRule="auto"/>
              <w:ind w:left="135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No business impact</w:t>
            </w:r>
          </w:p>
        </w:tc>
        <w:tc>
          <w:tcPr>
            <w:tcW w:w="4878" w:type="dxa"/>
            <w:hideMark/>
          </w:tcPr>
          <w:p w:rsidR="00893784" w:rsidRPr="001D05D3" w:rsidRDefault="00893784" w:rsidP="001D05D3">
            <w:pPr>
              <w:pStyle w:val="Tabletext0"/>
              <w:tabs>
                <w:tab w:val="clear" w:pos="1134"/>
              </w:tabs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No damage.</w:t>
            </w:r>
            <w:r w:rsidRPr="001D05D3">
              <w:rPr>
                <w:sz w:val="20"/>
                <w:lang w:eastAsia="en-AU"/>
              </w:rPr>
              <w:br/>
              <w:t>This information does not form part of official duty.</w:t>
            </w:r>
          </w:p>
        </w:tc>
      </w:tr>
      <w:tr w:rsidR="00893784" w:rsidRPr="008B5E72" w:rsidTr="001D05D3">
        <w:trPr>
          <w:tblCellSpacing w:w="0" w:type="dxa"/>
        </w:trPr>
        <w:tc>
          <w:tcPr>
            <w:tcW w:w="1909" w:type="dxa"/>
            <w:hideMark/>
          </w:tcPr>
          <w:p w:rsidR="00893784" w:rsidRPr="001D05D3" w:rsidRDefault="00893784" w:rsidP="001D05D3">
            <w:pPr>
              <w:pStyle w:val="Tableheading"/>
              <w:tabs>
                <w:tab w:val="clear" w:pos="1134"/>
              </w:tabs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OFFICIAL</w:t>
            </w:r>
          </w:p>
        </w:tc>
        <w:tc>
          <w:tcPr>
            <w:tcW w:w="2271" w:type="dxa"/>
            <w:hideMark/>
          </w:tcPr>
          <w:p w:rsidR="00893784" w:rsidRPr="001D05D3" w:rsidRDefault="00893784" w:rsidP="001D05D3">
            <w:pPr>
              <w:pStyle w:val="Tabletext0"/>
              <w:tabs>
                <w:tab w:val="clear" w:pos="1134"/>
              </w:tabs>
              <w:spacing w:line="276" w:lineRule="auto"/>
              <w:ind w:left="135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1 Low business impact</w:t>
            </w:r>
          </w:p>
        </w:tc>
        <w:tc>
          <w:tcPr>
            <w:tcW w:w="4878" w:type="dxa"/>
            <w:hideMark/>
          </w:tcPr>
          <w:p w:rsidR="00893784" w:rsidRPr="001D05D3" w:rsidRDefault="00893784" w:rsidP="001D05D3">
            <w:pPr>
              <w:pStyle w:val="Tabletext0"/>
              <w:tabs>
                <w:tab w:val="clear" w:pos="1134"/>
              </w:tabs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No or insignificant damage.</w:t>
            </w:r>
            <w:r w:rsidRPr="001D05D3">
              <w:rPr>
                <w:sz w:val="20"/>
                <w:lang w:eastAsia="en-AU"/>
              </w:rPr>
              <w:br/>
              <w:t>This is the majority of routine information.</w:t>
            </w:r>
          </w:p>
          <w:p w:rsidR="00893784" w:rsidRPr="001D05D3" w:rsidRDefault="00893784" w:rsidP="001D05D3">
            <w:pPr>
              <w:pStyle w:val="Tabletext0"/>
              <w:tabs>
                <w:tab w:val="clear" w:pos="1134"/>
              </w:tabs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Example: Job Advertisement</w:t>
            </w:r>
          </w:p>
        </w:tc>
      </w:tr>
      <w:tr w:rsidR="00893784" w:rsidRPr="008B5E72" w:rsidTr="001D05D3">
        <w:trPr>
          <w:trHeight w:val="1731"/>
          <w:tblCellSpacing w:w="0" w:type="dxa"/>
        </w:trPr>
        <w:tc>
          <w:tcPr>
            <w:tcW w:w="1909" w:type="dxa"/>
            <w:hideMark/>
          </w:tcPr>
          <w:p w:rsidR="00893784" w:rsidRPr="001D05D3" w:rsidRDefault="00893784" w:rsidP="001D05D3">
            <w:pPr>
              <w:pStyle w:val="Tableheading"/>
              <w:tabs>
                <w:tab w:val="clear" w:pos="1134"/>
              </w:tabs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OFFICIAL: Sensitive</w:t>
            </w:r>
          </w:p>
        </w:tc>
        <w:tc>
          <w:tcPr>
            <w:tcW w:w="2271" w:type="dxa"/>
            <w:hideMark/>
          </w:tcPr>
          <w:p w:rsidR="00893784" w:rsidRPr="001D05D3" w:rsidRDefault="00893784" w:rsidP="001D05D3">
            <w:pPr>
              <w:pStyle w:val="Tabletext0"/>
              <w:tabs>
                <w:tab w:val="clear" w:pos="1134"/>
              </w:tabs>
              <w:spacing w:line="276" w:lineRule="auto"/>
              <w:ind w:left="135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2 Medium business impact</w:t>
            </w:r>
          </w:p>
        </w:tc>
        <w:tc>
          <w:tcPr>
            <w:tcW w:w="4878" w:type="dxa"/>
            <w:hideMark/>
          </w:tcPr>
          <w:p w:rsidR="00893784" w:rsidRPr="001D05D3" w:rsidRDefault="00893784" w:rsidP="001D05D3">
            <w:pPr>
              <w:pStyle w:val="Tabletext0"/>
              <w:tabs>
                <w:tab w:val="clear" w:pos="1134"/>
              </w:tabs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Limited damage to an individual, organisation or government generally if compromised. Falls under the Privacy Act 1988 and Australian Privacy Principals.</w:t>
            </w:r>
          </w:p>
          <w:p w:rsidR="00893784" w:rsidRPr="001D05D3" w:rsidRDefault="00893784" w:rsidP="001D05D3">
            <w:pPr>
              <w:pStyle w:val="Tabletext0"/>
              <w:tabs>
                <w:tab w:val="clear" w:pos="1134"/>
              </w:tabs>
              <w:spacing w:line="276" w:lineRule="auto"/>
              <w:ind w:left="256"/>
              <w:rPr>
                <w:sz w:val="20"/>
                <w:lang w:eastAsia="en-AU"/>
              </w:rPr>
            </w:pPr>
            <w:r w:rsidRPr="001D05D3">
              <w:rPr>
                <w:sz w:val="20"/>
                <w:lang w:eastAsia="en-AU"/>
              </w:rPr>
              <w:t>Example: Employee and Customer PII data</w:t>
            </w:r>
          </w:p>
        </w:tc>
      </w:tr>
    </w:tbl>
    <w:p w:rsidR="00893784" w:rsidRPr="007A10A2" w:rsidRDefault="00893784" w:rsidP="00893784">
      <w:pPr>
        <w:spacing w:line="276" w:lineRule="auto"/>
        <w:ind w:left="720"/>
        <w:rPr>
          <w:lang w:val="en-US"/>
        </w:rPr>
      </w:pPr>
    </w:p>
    <w:p w:rsidR="00893784" w:rsidRDefault="00893784" w:rsidP="00893784">
      <w:pPr>
        <w:pStyle w:val="Heading2"/>
        <w:spacing w:line="276" w:lineRule="auto"/>
        <w:ind w:firstLine="720"/>
      </w:pPr>
      <w:bookmarkStart w:id="8" w:name="_Toc117590292"/>
      <w:r>
        <w:t>4.2 Encryption</w:t>
      </w:r>
      <w:bookmarkEnd w:id="8"/>
    </w:p>
    <w:p w:rsidR="00893784" w:rsidRDefault="00893784" w:rsidP="00893784">
      <w:pPr>
        <w:spacing w:line="276" w:lineRule="auto"/>
        <w:ind w:left="720"/>
      </w:pPr>
      <w:r>
        <w:rPr>
          <w:lang w:val="en-US"/>
        </w:rPr>
        <w:t xml:space="preserve">Full Disk Encryption is required on all devices and must use </w:t>
      </w:r>
      <w:r>
        <w:t>XTS-AES 128-bit encryption.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Sensitive folders must have </w:t>
      </w:r>
      <w:r>
        <w:t xml:space="preserve">XTS-AES 128-bit </w:t>
      </w:r>
      <w:r>
        <w:rPr>
          <w:lang w:val="en-US"/>
        </w:rPr>
        <w:t>encryption enabled with authorized users provided with key.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All removable devices that hold Official or Official: Sensitive data must be encrypted with </w:t>
      </w:r>
      <w:r>
        <w:t>XTS-AES 128-bit</w:t>
      </w:r>
      <w:r>
        <w:rPr>
          <w:lang w:val="en-US"/>
        </w:rPr>
        <w:t xml:space="preserve"> encryption.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9" w:name="_Toc117590293"/>
      <w:r>
        <w:t>4.3 Hash Functions</w:t>
      </w:r>
      <w:bookmarkEnd w:id="9"/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Prior to storing sensitive data files, a SHA-512 has must be run on the completed file. This must be run after the transfer and the hashing outputs compared to ensure data integrity.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10" w:name="_Toc117590294"/>
      <w:r>
        <w:t>4.4 Data Access</w:t>
      </w:r>
      <w:bookmarkEnd w:id="10"/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Only authorized</w:t>
      </w:r>
      <w:r w:rsidR="00913DB6">
        <w:rPr>
          <w:lang w:val="en-US"/>
        </w:rPr>
        <w:t xml:space="preserve"> users have access to Official-</w:t>
      </w:r>
      <w:r>
        <w:rPr>
          <w:lang w:val="en-US"/>
        </w:rPr>
        <w:t>Sensitive data and the folders that contain this data.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Object auditing must be enabled and logged to ensure data integrity of sensitive data and track user access and modifications to the sensitive data.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11" w:name="_Toc117590295"/>
      <w:r w:rsidRPr="00981462">
        <w:t>4.5 Data Backup</w:t>
      </w:r>
      <w:bookmarkEnd w:id="11"/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All data backups that exceed 10Gigabytes are to be performed during off peak hours.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All off-site electronic data backups are to be stored through the use of a cloud provider over a SSL connection or VPN. It can also be stored in a secure location through the use of a secure transport company on an encrypted USB or full disk encrypted Hard-Disk Drive.</w:t>
      </w:r>
    </w:p>
    <w:p w:rsidR="00913DB6" w:rsidRDefault="00913DB6" w:rsidP="00893784">
      <w:pPr>
        <w:spacing w:line="276" w:lineRule="auto"/>
        <w:ind w:left="720"/>
        <w:rPr>
          <w:lang w:val="en-US"/>
        </w:rPr>
      </w:pP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All on-site electronic backups are to be stored on the secure server that has full disk encryption and only sent and retrieved through secure software protocols.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lastRenderedPageBreak/>
        <w:t>All hardcopy backups of sensitive data are to be secure stored in a locked safe and/or filing cabinet.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Only authorized personnel are to have access to the backup server, media or cloud provider.</w:t>
      </w:r>
    </w:p>
    <w:p w:rsidR="00893784" w:rsidRPr="00004F46" w:rsidRDefault="00893784" w:rsidP="00893784">
      <w:pPr>
        <w:pStyle w:val="Heading2"/>
        <w:spacing w:line="276" w:lineRule="auto"/>
        <w:ind w:firstLine="720"/>
      </w:pPr>
      <w:bookmarkStart w:id="12" w:name="_Toc117590296"/>
      <w:r>
        <w:t>4.6 Data Deletion</w:t>
      </w:r>
      <w:bookmarkEnd w:id="12"/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All data must be deleted using the Eraser software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Any removable devices and hard disk drives must be physical destroyed</w:t>
      </w:r>
    </w:p>
    <w:p w:rsidR="00893784" w:rsidRPr="00CE66B0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All documents must be shredded using a crosscut shredder or incineration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13" w:name="_Toc117590297"/>
      <w:r>
        <w:t>4.7 Privacy Impact Statement</w:t>
      </w:r>
      <w:bookmarkEnd w:id="13"/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Privacy Impact Statement is required to be completed to ensure privacy standards are being met and any risks to data privacy are identified and managed.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14" w:name="_Toc117590298"/>
      <w:r>
        <w:t>4.8 International Standards</w:t>
      </w:r>
      <w:bookmarkEnd w:id="14"/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MidTown IT </w:t>
      </w:r>
      <w:r>
        <w:rPr>
          <w:lang w:val="en-US"/>
        </w:rPr>
        <w:t>may hold European citizen client data and as such requires to be GDPR compliant. A completed GDPR Data Protection and Compliance Checklist is required and must be re-checked with any changes to this policy or procedures.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15" w:name="_Toc117590299"/>
      <w:r>
        <w:t>4.9 Online Account Audits</w:t>
      </w:r>
      <w:bookmarkEnd w:id="15"/>
    </w:p>
    <w:p w:rsidR="00B254A7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MidTown IT </w:t>
      </w:r>
      <w:r>
        <w:rPr>
          <w:lang w:val="en-US"/>
        </w:rPr>
        <w:t xml:space="preserve">requires all employees to uphold the below standards for all online accounts to reduce the risk of fraud, identity theft and social engineering practices. </w:t>
      </w:r>
    </w:p>
    <w:p w:rsidR="00B254A7" w:rsidRDefault="00B254A7" w:rsidP="00893784">
      <w:pPr>
        <w:spacing w:line="276" w:lineRule="auto"/>
        <w:ind w:left="720"/>
        <w:rPr>
          <w:lang w:val="en-US"/>
        </w:rPr>
      </w:pP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There is a pre-prepared Audit checklist to assist in this process.</w:t>
      </w:r>
    </w:p>
    <w:p w:rsidR="00893784" w:rsidRPr="0024636B" w:rsidRDefault="00893784" w:rsidP="00893784">
      <w:pPr>
        <w:pStyle w:val="ListParagraph"/>
        <w:widowControl/>
        <w:numPr>
          <w:ilvl w:val="0"/>
          <w:numId w:val="49"/>
        </w:numPr>
        <w:suppressAutoHyphens w:val="0"/>
        <w:spacing w:before="120" w:after="120" w:line="276" w:lineRule="auto"/>
        <w:rPr>
          <w:lang w:val="en-US"/>
        </w:rPr>
      </w:pPr>
      <w:r w:rsidRPr="0024636B">
        <w:rPr>
          <w:lang w:val="en-US"/>
        </w:rPr>
        <w:t>Delete all unused accounts to reduce information footprint</w:t>
      </w:r>
    </w:p>
    <w:p w:rsidR="00893784" w:rsidRPr="0024636B" w:rsidRDefault="00893784" w:rsidP="00893784">
      <w:pPr>
        <w:pStyle w:val="ListParagraph"/>
        <w:widowControl/>
        <w:numPr>
          <w:ilvl w:val="0"/>
          <w:numId w:val="49"/>
        </w:numPr>
        <w:suppressAutoHyphens w:val="0"/>
        <w:spacing w:before="120" w:after="120" w:line="276" w:lineRule="auto"/>
        <w:rPr>
          <w:lang w:val="en-US"/>
        </w:rPr>
      </w:pPr>
      <w:r w:rsidRPr="0024636B">
        <w:rPr>
          <w:lang w:val="en-US"/>
        </w:rPr>
        <w:t>Remove any sensitive personal and/or organisational information in all profiles even if that profile is unused</w:t>
      </w:r>
    </w:p>
    <w:p w:rsidR="00893784" w:rsidRPr="00405A2E" w:rsidRDefault="00893784" w:rsidP="00893784">
      <w:pPr>
        <w:pStyle w:val="ListParagraph"/>
        <w:widowControl/>
        <w:numPr>
          <w:ilvl w:val="0"/>
          <w:numId w:val="49"/>
        </w:numPr>
        <w:suppressAutoHyphens w:val="0"/>
        <w:spacing w:before="120" w:after="120" w:line="276" w:lineRule="auto"/>
        <w:rPr>
          <w:lang w:val="en-US"/>
        </w:rPr>
      </w:pPr>
      <w:r w:rsidRPr="00405A2E">
        <w:rPr>
          <w:lang w:val="en-US"/>
        </w:rPr>
        <w:t>Create multiple strong passwords across personal and organisation accounts/profiles</w:t>
      </w:r>
    </w:p>
    <w:p w:rsidR="00893784" w:rsidRPr="00405A2E" w:rsidRDefault="00893784" w:rsidP="00893784">
      <w:pPr>
        <w:pStyle w:val="ListParagraph"/>
        <w:widowControl/>
        <w:numPr>
          <w:ilvl w:val="0"/>
          <w:numId w:val="49"/>
        </w:numPr>
        <w:suppressAutoHyphens w:val="0"/>
        <w:spacing w:before="120" w:after="120" w:line="276" w:lineRule="auto"/>
        <w:rPr>
          <w:lang w:val="en-US"/>
        </w:rPr>
      </w:pPr>
      <w:r w:rsidRPr="00405A2E">
        <w:rPr>
          <w:lang w:val="en-US"/>
        </w:rPr>
        <w:t>Configure and use 2FA across all accounts where available</w:t>
      </w:r>
    </w:p>
    <w:p w:rsidR="00893784" w:rsidRPr="00405A2E" w:rsidRDefault="00893784" w:rsidP="00893784">
      <w:pPr>
        <w:pStyle w:val="ListParagraph"/>
        <w:widowControl/>
        <w:numPr>
          <w:ilvl w:val="0"/>
          <w:numId w:val="49"/>
        </w:numPr>
        <w:suppressAutoHyphens w:val="0"/>
        <w:spacing w:before="120" w:after="120" w:line="276" w:lineRule="auto"/>
        <w:rPr>
          <w:lang w:val="en-US"/>
        </w:rPr>
      </w:pPr>
      <w:r w:rsidRPr="00405A2E">
        <w:rPr>
          <w:lang w:val="en-US"/>
        </w:rPr>
        <w:t xml:space="preserve">Adjust privacy settings across all Social Media accounts to allow access to only authorised individuals and restrict social engineering threats from attackers </w:t>
      </w:r>
    </w:p>
    <w:p w:rsidR="00893784" w:rsidRPr="00405A2E" w:rsidRDefault="00893784" w:rsidP="00893784">
      <w:pPr>
        <w:pStyle w:val="ListParagraph"/>
        <w:widowControl/>
        <w:numPr>
          <w:ilvl w:val="0"/>
          <w:numId w:val="49"/>
        </w:numPr>
        <w:suppressAutoHyphens w:val="0"/>
        <w:spacing w:before="120" w:after="120" w:line="276" w:lineRule="auto"/>
        <w:rPr>
          <w:lang w:val="en-US"/>
        </w:rPr>
      </w:pPr>
      <w:r w:rsidRPr="00405A2E">
        <w:rPr>
          <w:lang w:val="en-US"/>
        </w:rPr>
        <w:t>Adjust spam filter settings across all Email accounts to ensure spam/phishing emails are scanned and filtered correctly</w:t>
      </w:r>
    </w:p>
    <w:p w:rsidR="00893784" w:rsidRPr="0024636B" w:rsidRDefault="00893784" w:rsidP="00893784">
      <w:pPr>
        <w:pStyle w:val="ListParagraph"/>
        <w:widowControl/>
        <w:numPr>
          <w:ilvl w:val="0"/>
          <w:numId w:val="49"/>
        </w:numPr>
        <w:suppressAutoHyphens w:val="0"/>
        <w:spacing w:before="120" w:after="120" w:line="276" w:lineRule="auto"/>
        <w:rPr>
          <w:lang w:val="en-US"/>
        </w:rPr>
      </w:pPr>
      <w:r w:rsidRPr="0024636B">
        <w:rPr>
          <w:lang w:val="en-US"/>
        </w:rPr>
        <w:t>Adjust privacy and security settings across all Banking accounts to ensure a reduction in security threats.</w:t>
      </w:r>
    </w:p>
    <w:p w:rsidR="00893784" w:rsidRPr="0024636B" w:rsidRDefault="00893784" w:rsidP="00893784">
      <w:pPr>
        <w:pStyle w:val="ListParagraph"/>
        <w:widowControl/>
        <w:numPr>
          <w:ilvl w:val="0"/>
          <w:numId w:val="49"/>
        </w:numPr>
        <w:suppressAutoHyphens w:val="0"/>
        <w:spacing w:before="120" w:after="120" w:line="276" w:lineRule="auto"/>
        <w:rPr>
          <w:lang w:val="en-US"/>
        </w:rPr>
      </w:pPr>
      <w:r w:rsidRPr="0024636B">
        <w:rPr>
          <w:lang w:val="en-US"/>
        </w:rPr>
        <w:t>Adjust privacy and security settings across all Internet Browsing Software to restrict location tracking, ensure all popups are blocked by default and increase the default securing settings to high.</w:t>
      </w:r>
    </w:p>
    <w:p w:rsidR="00893784" w:rsidRPr="0024636B" w:rsidRDefault="00893784" w:rsidP="00893784">
      <w:pPr>
        <w:pStyle w:val="ListParagraph"/>
        <w:widowControl/>
        <w:numPr>
          <w:ilvl w:val="0"/>
          <w:numId w:val="49"/>
        </w:numPr>
        <w:suppressAutoHyphens w:val="0"/>
        <w:spacing w:before="120" w:after="120" w:line="276" w:lineRule="auto"/>
        <w:rPr>
          <w:lang w:val="en-US"/>
        </w:rPr>
      </w:pPr>
      <w:r w:rsidRPr="0024636B">
        <w:rPr>
          <w:lang w:val="en-US"/>
        </w:rPr>
        <w:t>Adjust privacy and security settings across all Mobile Devices and Applications to remove all sensitive information from being leaked from the device or applications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16" w:name="_Toc117590300"/>
      <w:r>
        <w:t>4.10 Cyber Awareness</w:t>
      </w:r>
      <w:bookmarkEnd w:id="16"/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MidTown IT </w:t>
      </w:r>
      <w:r>
        <w:rPr>
          <w:lang w:val="en-US"/>
        </w:rPr>
        <w:t>requires all employees to complete the Cyber Security Awareness questionnaire upon employment and when requested by the senior leadership team.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lastRenderedPageBreak/>
        <w:t xml:space="preserve">Upon completing this questionnaire, you will be provided with a score </w:t>
      </w:r>
      <w:r w:rsidR="001D05D3">
        <w:rPr>
          <w:lang w:val="en-US"/>
        </w:rPr>
        <w:t>out</w:t>
      </w:r>
      <w:r>
        <w:rPr>
          <w:lang w:val="en-US"/>
        </w:rPr>
        <w:t xml:space="preserve"> of 100 and given a rating as described below. This score will be stored and used as information for the </w:t>
      </w:r>
      <w:r w:rsidR="001D05D3">
        <w:rPr>
          <w:lang w:val="en-US"/>
        </w:rPr>
        <w:t>organization-wide</w:t>
      </w:r>
      <w:r>
        <w:rPr>
          <w:lang w:val="en-US"/>
        </w:rPr>
        <w:t xml:space="preserve"> Cyber Security awareness standard.</w:t>
      </w:r>
    </w:p>
    <w:p w:rsidR="00405A2E" w:rsidRDefault="00405A2E" w:rsidP="00893784">
      <w:pPr>
        <w:spacing w:line="276" w:lineRule="auto"/>
        <w:ind w:left="720"/>
        <w:rPr>
          <w:lang w:val="en-US"/>
        </w:rPr>
      </w:pP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MidTown </w:t>
      </w:r>
      <w:r w:rsidR="001D05D3">
        <w:rPr>
          <w:lang w:val="en-US"/>
        </w:rPr>
        <w:t>IT’s</w:t>
      </w:r>
      <w:r>
        <w:rPr>
          <w:lang w:val="en-US"/>
        </w:rPr>
        <w:t xml:space="preserve"> </w:t>
      </w:r>
      <w:r>
        <w:rPr>
          <w:lang w:val="en-US"/>
        </w:rPr>
        <w:t>goal is to have an average organizational standard of &gt;75%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Questionnaire ratings are scored as Low, Medium and High</w:t>
      </w:r>
      <w:r w:rsidR="001D05D3">
        <w:rPr>
          <w:lang w:val="en-US"/>
        </w:rPr>
        <w:t>,</w:t>
      </w:r>
      <w:r>
        <w:rPr>
          <w:lang w:val="en-US"/>
        </w:rPr>
        <w:t xml:space="preserve"> as the table below.</w:t>
      </w:r>
    </w:p>
    <w:p w:rsidR="001D05D3" w:rsidRDefault="001D05D3" w:rsidP="00893784">
      <w:pPr>
        <w:spacing w:line="276" w:lineRule="auto"/>
        <w:ind w:left="720"/>
        <w:rPr>
          <w:lang w:val="en-US"/>
        </w:rPr>
      </w:pPr>
    </w:p>
    <w:tbl>
      <w:tblPr>
        <w:tblStyle w:val="TableGrid"/>
        <w:tblW w:w="0" w:type="auto"/>
        <w:tblInd w:w="874" w:type="dxa"/>
        <w:tblLook w:val="04A0" w:firstRow="1" w:lastRow="0" w:firstColumn="1" w:lastColumn="0" w:noHBand="0" w:noVBand="1"/>
      </w:tblPr>
      <w:tblGrid>
        <w:gridCol w:w="2223"/>
        <w:gridCol w:w="1985"/>
      </w:tblGrid>
      <w:tr w:rsidR="00893784" w:rsidTr="00310318">
        <w:tc>
          <w:tcPr>
            <w:tcW w:w="2223" w:type="dxa"/>
          </w:tcPr>
          <w:p w:rsidR="00893784" w:rsidRDefault="00893784" w:rsidP="0089378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0-40</w:t>
            </w:r>
          </w:p>
        </w:tc>
        <w:tc>
          <w:tcPr>
            <w:tcW w:w="1985" w:type="dxa"/>
          </w:tcPr>
          <w:p w:rsidR="00893784" w:rsidRDefault="00893784" w:rsidP="0089378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893784" w:rsidTr="00310318">
        <w:tc>
          <w:tcPr>
            <w:tcW w:w="2223" w:type="dxa"/>
          </w:tcPr>
          <w:p w:rsidR="00893784" w:rsidRDefault="00893784" w:rsidP="0089378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41-74</w:t>
            </w:r>
          </w:p>
        </w:tc>
        <w:tc>
          <w:tcPr>
            <w:tcW w:w="1985" w:type="dxa"/>
          </w:tcPr>
          <w:p w:rsidR="00893784" w:rsidRDefault="00893784" w:rsidP="0089378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893784" w:rsidTr="00310318">
        <w:tc>
          <w:tcPr>
            <w:tcW w:w="2223" w:type="dxa"/>
          </w:tcPr>
          <w:p w:rsidR="00893784" w:rsidRDefault="00893784" w:rsidP="0089378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75-100</w:t>
            </w:r>
          </w:p>
        </w:tc>
        <w:tc>
          <w:tcPr>
            <w:tcW w:w="1985" w:type="dxa"/>
          </w:tcPr>
          <w:p w:rsidR="00893784" w:rsidRDefault="00893784" w:rsidP="0089378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:rsidR="00893784" w:rsidRDefault="00893784" w:rsidP="00893784">
      <w:pPr>
        <w:pStyle w:val="Heading2"/>
        <w:spacing w:line="276" w:lineRule="auto"/>
        <w:ind w:firstLine="720"/>
      </w:pPr>
      <w:r>
        <w:t xml:space="preserve"> </w:t>
      </w:r>
      <w:bookmarkStart w:id="17" w:name="_Toc117590301"/>
      <w:r>
        <w:t>4.11 Acceptable Use of Social Media</w:t>
      </w:r>
      <w:bookmarkEnd w:id="17"/>
    </w:p>
    <w:p w:rsidR="00893784" w:rsidRDefault="00893784" w:rsidP="00893784">
      <w:pPr>
        <w:spacing w:line="276" w:lineRule="auto"/>
        <w:ind w:left="720"/>
        <w:rPr>
          <w:lang w:val="en-US"/>
        </w:rPr>
      </w:pPr>
      <w:r w:rsidRPr="0046656A">
        <w:rPr>
          <w:lang w:val="en-US"/>
        </w:rPr>
        <w:t xml:space="preserve">Limited and occasional use of </w:t>
      </w:r>
      <w:r>
        <w:rPr>
          <w:lang w:val="en-US"/>
        </w:rPr>
        <w:t xml:space="preserve">MidTown IT </w:t>
      </w:r>
      <w:r w:rsidRPr="0046656A">
        <w:rPr>
          <w:lang w:val="en-US"/>
        </w:rPr>
        <w:t xml:space="preserve">systems to engage in </w:t>
      </w:r>
      <w:r>
        <w:rPr>
          <w:lang w:val="en-US"/>
        </w:rPr>
        <w:t>Social Media</w:t>
      </w:r>
      <w:r w:rsidRPr="0046656A">
        <w:rPr>
          <w:lang w:val="en-US"/>
        </w:rPr>
        <w:t xml:space="preserve"> is acceptable, if it is done in a professional and responsible manner, is not detrimental to </w:t>
      </w:r>
      <w:r>
        <w:rPr>
          <w:lang w:val="en-US"/>
        </w:rPr>
        <w:t xml:space="preserve">MidTown IT </w:t>
      </w:r>
      <w:r w:rsidRPr="0046656A">
        <w:rPr>
          <w:lang w:val="en-US"/>
        </w:rPr>
        <w:t xml:space="preserve">best interests, and does not interfere with an employee's regular work duties. </w:t>
      </w:r>
      <w:r>
        <w:rPr>
          <w:lang w:val="en-US"/>
        </w:rPr>
        <w:t>Social Media use</w:t>
      </w:r>
      <w:r w:rsidRPr="0046656A">
        <w:rPr>
          <w:lang w:val="en-US"/>
        </w:rPr>
        <w:t xml:space="preserve"> from </w:t>
      </w:r>
      <w:r>
        <w:rPr>
          <w:lang w:val="en-US"/>
        </w:rPr>
        <w:t xml:space="preserve">MidTown IT </w:t>
      </w:r>
      <w:r w:rsidRPr="0046656A">
        <w:rPr>
          <w:lang w:val="en-US"/>
        </w:rPr>
        <w:t>systems is also subject to monitoring.</w:t>
      </w:r>
    </w:p>
    <w:p w:rsidR="00405A2E" w:rsidRPr="0046656A" w:rsidRDefault="00405A2E" w:rsidP="00893784">
      <w:pPr>
        <w:spacing w:line="276" w:lineRule="auto"/>
        <w:ind w:left="720"/>
        <w:rPr>
          <w:lang w:val="en-US"/>
        </w:rPr>
      </w:pP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MidTown IT </w:t>
      </w:r>
      <w:r w:rsidRPr="0046656A">
        <w:rPr>
          <w:lang w:val="en-US"/>
        </w:rPr>
        <w:t xml:space="preserve">Confidential Information policy also applies to </w:t>
      </w:r>
      <w:r>
        <w:rPr>
          <w:lang w:val="en-US"/>
        </w:rPr>
        <w:t>Social Media</w:t>
      </w:r>
      <w:r w:rsidRPr="0046656A">
        <w:rPr>
          <w:lang w:val="en-US"/>
        </w:rPr>
        <w:t xml:space="preserve">. As such, Employees are prohibited from revealing any </w:t>
      </w:r>
      <w:r>
        <w:rPr>
          <w:lang w:val="en-US"/>
        </w:rPr>
        <w:t xml:space="preserve">MidTown IT </w:t>
      </w:r>
      <w:r w:rsidRPr="0046656A">
        <w:rPr>
          <w:lang w:val="en-US"/>
        </w:rPr>
        <w:t>confidential or proprietary information</w:t>
      </w:r>
      <w:r>
        <w:rPr>
          <w:lang w:val="en-US"/>
        </w:rPr>
        <w:t>.</w:t>
      </w:r>
    </w:p>
    <w:p w:rsidR="00405A2E" w:rsidRPr="0046656A" w:rsidRDefault="00405A2E" w:rsidP="00893784">
      <w:pPr>
        <w:spacing w:line="276" w:lineRule="auto"/>
        <w:ind w:left="720"/>
        <w:rPr>
          <w:lang w:val="en-US"/>
        </w:rPr>
      </w:pP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>Employees must follow</w:t>
      </w:r>
      <w:r w:rsidRPr="0046656A">
        <w:rPr>
          <w:lang w:val="en-US"/>
        </w:rPr>
        <w:t xml:space="preserve"> all laws pertaining to the handling and disclosure of copyrighted or </w:t>
      </w:r>
      <w:r w:rsidR="001D05D3">
        <w:rPr>
          <w:lang w:val="en-US"/>
        </w:rPr>
        <w:t>export-controlled</w:t>
      </w:r>
      <w:r w:rsidRPr="0046656A">
        <w:rPr>
          <w:lang w:val="en-US"/>
        </w:rPr>
        <w:t xml:space="preserve"> materials, </w:t>
      </w:r>
      <w:r>
        <w:rPr>
          <w:lang w:val="en-US"/>
        </w:rPr>
        <w:t xml:space="preserve">MidTown IT </w:t>
      </w:r>
      <w:r w:rsidRPr="0046656A">
        <w:rPr>
          <w:lang w:val="en-US"/>
        </w:rPr>
        <w:t xml:space="preserve">trademarks, logos and any other </w:t>
      </w:r>
      <w:r>
        <w:rPr>
          <w:lang w:val="en-US"/>
        </w:rPr>
        <w:t xml:space="preserve">MidTown IT </w:t>
      </w:r>
      <w:r w:rsidRPr="0046656A">
        <w:rPr>
          <w:lang w:val="en-US"/>
        </w:rPr>
        <w:t xml:space="preserve">intellectual property may also not be used in connection with any </w:t>
      </w:r>
      <w:r>
        <w:rPr>
          <w:lang w:val="en-US"/>
        </w:rPr>
        <w:t>personal Social Media</w:t>
      </w:r>
      <w:r w:rsidRPr="0046656A">
        <w:rPr>
          <w:lang w:val="en-US"/>
        </w:rPr>
        <w:t xml:space="preserve"> activity</w:t>
      </w:r>
      <w:r>
        <w:rPr>
          <w:lang w:val="en-US"/>
        </w:rPr>
        <w:t>.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18" w:name="_Toc117590302"/>
      <w:r>
        <w:t>4.12 Bring your own device</w:t>
      </w:r>
      <w:bookmarkEnd w:id="18"/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MidTown IT </w:t>
      </w:r>
      <w:r>
        <w:rPr>
          <w:lang w:val="en-US"/>
        </w:rPr>
        <w:t xml:space="preserve">employees are permitted to bring their own </w:t>
      </w:r>
      <w:r w:rsidR="001D05D3">
        <w:rPr>
          <w:lang w:val="en-US"/>
        </w:rPr>
        <w:t>devices</w:t>
      </w:r>
      <w:r>
        <w:rPr>
          <w:lang w:val="en-US"/>
        </w:rPr>
        <w:t xml:space="preserve"> to the workplace.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Any devices owned by </w:t>
      </w:r>
      <w:r>
        <w:rPr>
          <w:lang w:val="en-US"/>
        </w:rPr>
        <w:t xml:space="preserve">MidTown IT </w:t>
      </w:r>
      <w:r>
        <w:rPr>
          <w:lang w:val="en-US"/>
        </w:rPr>
        <w:t>employees are subject to the sections in this policy.</w:t>
      </w:r>
    </w:p>
    <w:p w:rsidR="00893784" w:rsidRDefault="00893784" w:rsidP="00893784">
      <w:pPr>
        <w:spacing w:line="276" w:lineRule="auto"/>
        <w:ind w:left="720"/>
        <w:rPr>
          <w:lang w:val="en-US"/>
        </w:rPr>
      </w:pPr>
    </w:p>
    <w:p w:rsidR="00893784" w:rsidRDefault="00893784" w:rsidP="00893784">
      <w:pPr>
        <w:pStyle w:val="Heading1"/>
        <w:numPr>
          <w:ilvl w:val="0"/>
          <w:numId w:val="48"/>
        </w:numPr>
        <w:pBdr>
          <w:bottom w:val="none" w:sz="0" w:space="0" w:color="auto"/>
        </w:pBdr>
        <w:overflowPunct/>
        <w:autoSpaceDE/>
        <w:autoSpaceDN/>
        <w:adjustRightInd/>
        <w:spacing w:before="120" w:line="276" w:lineRule="auto"/>
        <w:ind w:left="142" w:hanging="142"/>
        <w:textAlignment w:val="auto"/>
        <w:rPr>
          <w:rFonts w:eastAsia="MS Mincho"/>
        </w:rPr>
      </w:pPr>
      <w:bookmarkStart w:id="19" w:name="_Toc117590303"/>
      <w:r>
        <w:rPr>
          <w:rFonts w:eastAsia="MS Mincho"/>
        </w:rPr>
        <w:t>Policy Compliance</w:t>
      </w:r>
      <w:bookmarkEnd w:id="19"/>
    </w:p>
    <w:p w:rsidR="00893784" w:rsidRDefault="00893784" w:rsidP="00893784">
      <w:pPr>
        <w:pStyle w:val="Heading2"/>
        <w:spacing w:line="276" w:lineRule="auto"/>
        <w:ind w:firstLine="720"/>
        <w:rPr>
          <w:rFonts w:ascii="Times New Roman" w:hAnsi="Times New Roman"/>
        </w:rPr>
      </w:pPr>
      <w:bookmarkStart w:id="20" w:name="_Toc117590304"/>
      <w:r>
        <w:t>5.1 Compliance Measurement</w:t>
      </w:r>
      <w:bookmarkEnd w:id="20"/>
    </w:p>
    <w:p w:rsidR="00893784" w:rsidRDefault="00893784" w:rsidP="00893784">
      <w:pPr>
        <w:pStyle w:val="ListParagraph"/>
        <w:spacing w:line="276" w:lineRule="auto"/>
        <w:rPr>
          <w:szCs w:val="24"/>
        </w:rPr>
      </w:pPr>
      <w:r>
        <w:rPr>
          <w:szCs w:val="24"/>
        </w:rPr>
        <w:t xml:space="preserve">The IT Team will verify compliance to this policy through various methods, including but not limited to, business tool reports, internal and external audits, and feedback to the policy owner. 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21" w:name="_Toc117590305"/>
      <w:r>
        <w:t>5.2 Exceptions</w:t>
      </w:r>
      <w:bookmarkEnd w:id="21"/>
    </w:p>
    <w:p w:rsidR="00893784" w:rsidRDefault="00893784" w:rsidP="00893784">
      <w:pPr>
        <w:pStyle w:val="ListParagraph"/>
        <w:spacing w:line="276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szCs w:val="24"/>
        </w:rPr>
        <w:t xml:space="preserve">Any exception to the policy must be approved by the IT team in advance. </w:t>
      </w:r>
    </w:p>
    <w:p w:rsidR="00893784" w:rsidRDefault="00893784" w:rsidP="00893784">
      <w:pPr>
        <w:pStyle w:val="Heading2"/>
        <w:spacing w:line="276" w:lineRule="auto"/>
        <w:ind w:firstLine="720"/>
      </w:pPr>
      <w:bookmarkStart w:id="22" w:name="_Toc117590306"/>
      <w:r>
        <w:t>5.3 Non-Compliance</w:t>
      </w:r>
      <w:bookmarkEnd w:id="22"/>
    </w:p>
    <w:p w:rsidR="00893784" w:rsidRDefault="00893784" w:rsidP="0089378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>
        <w:rPr>
          <w:szCs w:val="24"/>
        </w:rPr>
        <w:t xml:space="preserve">An employee found to have violated this policy may be subject to disciplinary action, up to and including termination of employment. </w:t>
      </w:r>
    </w:p>
    <w:p w:rsidR="00893784" w:rsidRDefault="00893784" w:rsidP="00893784">
      <w:pPr>
        <w:pStyle w:val="Heading1"/>
        <w:numPr>
          <w:ilvl w:val="0"/>
          <w:numId w:val="48"/>
        </w:numPr>
        <w:pBdr>
          <w:bottom w:val="none" w:sz="0" w:space="0" w:color="auto"/>
        </w:pBdr>
        <w:overflowPunct/>
        <w:autoSpaceDE/>
        <w:autoSpaceDN/>
        <w:adjustRightInd/>
        <w:spacing w:before="120" w:line="276" w:lineRule="auto"/>
        <w:ind w:left="142" w:hanging="142"/>
        <w:textAlignment w:val="auto"/>
        <w:rPr>
          <w:rFonts w:eastAsia="MS Mincho"/>
        </w:rPr>
      </w:pPr>
      <w:bookmarkStart w:id="23" w:name="_Toc117590307"/>
      <w:r>
        <w:rPr>
          <w:rFonts w:eastAsia="MS Mincho"/>
        </w:rPr>
        <w:lastRenderedPageBreak/>
        <w:t>Related Standards, Policies and Processes</w:t>
      </w:r>
      <w:bookmarkEnd w:id="23"/>
    </w:p>
    <w:p w:rsidR="001D05D3" w:rsidRDefault="001D05D3" w:rsidP="001D05D3">
      <w:pPr>
        <w:rPr>
          <w:rFonts w:eastAsia="MS Mincho"/>
        </w:rPr>
      </w:pPr>
      <w:r>
        <w:rPr>
          <w:rFonts w:eastAsia="MS Mincho"/>
        </w:rPr>
        <w:t>Related standards, policies and processes can be accessed visiting the following links:</w:t>
      </w:r>
    </w:p>
    <w:p w:rsidR="001D05D3" w:rsidRPr="001D05D3" w:rsidRDefault="001D05D3" w:rsidP="001D05D3">
      <w:pPr>
        <w:rPr>
          <w:rFonts w:eastAsia="MS Mincho"/>
        </w:rPr>
      </w:pPr>
    </w:p>
    <w:p w:rsidR="00893784" w:rsidRDefault="00893784" w:rsidP="001D05D3">
      <w:pPr>
        <w:spacing w:line="276" w:lineRule="auto"/>
        <w:rPr>
          <w:lang w:val="en-US"/>
        </w:rPr>
      </w:pPr>
      <w:hyperlink r:id="rId8" w:history="1">
        <w:r w:rsidRPr="00A634C9">
          <w:rPr>
            <w:rStyle w:val="Hyperlink"/>
            <w:lang w:val="en-US"/>
          </w:rPr>
          <w:t>https://www.legislation.gov.au/Details/C2021C00139</w:t>
        </w:r>
      </w:hyperlink>
    </w:p>
    <w:p w:rsidR="00893784" w:rsidRDefault="00893784" w:rsidP="001D05D3">
      <w:pPr>
        <w:spacing w:line="276" w:lineRule="auto"/>
        <w:rPr>
          <w:lang w:val="en-US"/>
        </w:rPr>
      </w:pPr>
      <w:hyperlink r:id="rId9" w:history="1">
        <w:r w:rsidRPr="00A634C9">
          <w:rPr>
            <w:rStyle w:val="Hyperlink"/>
            <w:lang w:val="en-US"/>
          </w:rPr>
          <w:t>https://www.protectivesecurity.gov.au/information/sensitive-classified-information/Pages/default.aspx</w:t>
        </w:r>
      </w:hyperlink>
    </w:p>
    <w:p w:rsidR="00893784" w:rsidRDefault="00893784" w:rsidP="001D05D3">
      <w:pPr>
        <w:spacing w:line="276" w:lineRule="auto"/>
        <w:rPr>
          <w:lang w:val="en-US"/>
        </w:rPr>
      </w:pPr>
      <w:hyperlink r:id="rId10" w:history="1">
        <w:r w:rsidRPr="00A634C9">
          <w:rPr>
            <w:rStyle w:val="Hyperlink"/>
            <w:lang w:val="en-US"/>
          </w:rPr>
          <w:t>https://gdpr.eu/checklist/</w:t>
        </w:r>
      </w:hyperlink>
    </w:p>
    <w:p w:rsidR="00893784" w:rsidRDefault="00893784" w:rsidP="001D05D3">
      <w:pPr>
        <w:spacing w:line="276" w:lineRule="auto"/>
        <w:rPr>
          <w:lang w:val="en-US"/>
        </w:rPr>
      </w:pPr>
      <w:hyperlink r:id="rId11" w:history="1">
        <w:r w:rsidRPr="00A634C9">
          <w:rPr>
            <w:rStyle w:val="Hyperlink"/>
            <w:lang w:val="en-US"/>
          </w:rPr>
          <w:t>https://www.nist.gov/itl/smallbusinesscyber/securing-data-devices</w:t>
        </w:r>
      </w:hyperlink>
    </w:p>
    <w:p w:rsidR="00893784" w:rsidRDefault="00893784" w:rsidP="001D05D3">
      <w:pPr>
        <w:spacing w:line="276" w:lineRule="auto"/>
        <w:rPr>
          <w:lang w:val="en-US"/>
        </w:rPr>
      </w:pPr>
      <w:hyperlink r:id="rId12" w:history="1">
        <w:r w:rsidRPr="00A634C9">
          <w:rPr>
            <w:rStyle w:val="Hyperlink"/>
            <w:lang w:val="en-US"/>
          </w:rPr>
          <w:t>https://www.business.qld.gov.au/running-business/protecting-business/risk-management/protecting-data/policies-procedures</w:t>
        </w:r>
      </w:hyperlink>
    </w:p>
    <w:p w:rsidR="00893784" w:rsidRDefault="00893784" w:rsidP="001D05D3">
      <w:pPr>
        <w:spacing w:line="276" w:lineRule="auto"/>
        <w:rPr>
          <w:lang w:val="en-US"/>
        </w:rPr>
      </w:pPr>
      <w:hyperlink r:id="rId13" w:history="1">
        <w:r w:rsidRPr="00A634C9">
          <w:rPr>
            <w:rStyle w:val="Hyperlink"/>
            <w:lang w:val="en-US"/>
          </w:rPr>
          <w:t>https://www.oic.qld.gov.au/guidelines/for-government/guidelines-privacy-principles/privacy-compliance/overview-privacy-impact-assessment-process/undertaking-a-privacy-impact-assessment</w:t>
        </w:r>
      </w:hyperlink>
    </w:p>
    <w:p w:rsidR="00893784" w:rsidRPr="00BD778E" w:rsidRDefault="00893784" w:rsidP="00893784">
      <w:pPr>
        <w:spacing w:line="276" w:lineRule="auto"/>
        <w:rPr>
          <w:lang w:val="en-US"/>
        </w:rPr>
      </w:pPr>
    </w:p>
    <w:p w:rsidR="00893784" w:rsidRDefault="00893784" w:rsidP="00893784">
      <w:pPr>
        <w:pStyle w:val="Heading1"/>
        <w:numPr>
          <w:ilvl w:val="0"/>
          <w:numId w:val="48"/>
        </w:numPr>
        <w:pBdr>
          <w:bottom w:val="none" w:sz="0" w:space="0" w:color="auto"/>
        </w:pBdr>
        <w:overflowPunct/>
        <w:autoSpaceDE/>
        <w:autoSpaceDN/>
        <w:adjustRightInd/>
        <w:spacing w:before="120" w:line="276" w:lineRule="auto"/>
        <w:ind w:left="142" w:hanging="142"/>
        <w:textAlignment w:val="auto"/>
        <w:rPr>
          <w:rFonts w:eastAsia="MS Mincho"/>
        </w:rPr>
      </w:pPr>
      <w:bookmarkStart w:id="24" w:name="_Toc117590308"/>
      <w:r>
        <w:rPr>
          <w:rFonts w:eastAsia="MS Mincho"/>
        </w:rPr>
        <w:t>Definitions and Terms</w:t>
      </w:r>
      <w:bookmarkEnd w:id="24"/>
    </w:p>
    <w:p w:rsidR="001D05D3" w:rsidRDefault="001D05D3" w:rsidP="001D05D3">
      <w:pPr>
        <w:rPr>
          <w:rFonts w:eastAsia="MS Mincho"/>
        </w:rPr>
      </w:pPr>
      <w:r>
        <w:rPr>
          <w:rFonts w:eastAsia="MS Mincho"/>
        </w:rPr>
        <w:t>Definitions and terms:</w:t>
      </w:r>
    </w:p>
    <w:p w:rsidR="001D05D3" w:rsidRPr="001D05D3" w:rsidRDefault="001D05D3" w:rsidP="001D05D3">
      <w:pPr>
        <w:rPr>
          <w:rFonts w:eastAsia="MS Mincho"/>
        </w:rPr>
      </w:pPr>
    </w:p>
    <w:p w:rsidR="00893784" w:rsidRPr="001D05D3" w:rsidRDefault="00893784" w:rsidP="001D05D3">
      <w:pPr>
        <w:pStyle w:val="ListParagraph"/>
        <w:numPr>
          <w:ilvl w:val="0"/>
          <w:numId w:val="50"/>
        </w:numPr>
        <w:spacing w:line="276" w:lineRule="auto"/>
        <w:rPr>
          <w:lang w:val="en-US"/>
        </w:rPr>
      </w:pPr>
      <w:r w:rsidRPr="001D05D3">
        <w:rPr>
          <w:lang w:val="en-US"/>
        </w:rPr>
        <w:t>Encryption: Cryptographic transformation of data (called "plaintext") into a form (called "cipher text") that conceals the data's original meaning to prevent it from being known or used</w:t>
      </w:r>
    </w:p>
    <w:p w:rsidR="00893784" w:rsidRPr="001D05D3" w:rsidRDefault="00893784" w:rsidP="001D05D3">
      <w:pPr>
        <w:pStyle w:val="ListParagraph"/>
        <w:numPr>
          <w:ilvl w:val="0"/>
          <w:numId w:val="50"/>
        </w:numPr>
        <w:spacing w:line="276" w:lineRule="auto"/>
        <w:rPr>
          <w:lang w:val="en-US"/>
        </w:rPr>
      </w:pPr>
      <w:r w:rsidRPr="001D05D3">
        <w:rPr>
          <w:lang w:val="en-US"/>
        </w:rPr>
        <w:t>Advanced Encryption Standard (AES): An encryption standard being developed by NIST. Intended to specify an unclassified, publicly-disclosed, symmetric encryption algorithm.</w:t>
      </w:r>
    </w:p>
    <w:p w:rsidR="00893784" w:rsidRPr="001D05D3" w:rsidRDefault="00893784" w:rsidP="001D05D3">
      <w:pPr>
        <w:pStyle w:val="ListParagraph"/>
        <w:numPr>
          <w:ilvl w:val="0"/>
          <w:numId w:val="50"/>
        </w:numPr>
        <w:spacing w:line="276" w:lineRule="auto"/>
        <w:rPr>
          <w:lang w:val="en-US"/>
        </w:rPr>
      </w:pPr>
      <w:r w:rsidRPr="001D05D3">
        <w:rPr>
          <w:lang w:val="en-US"/>
        </w:rPr>
        <w:t>Hash Functions: (cryptographic) hash functions are used to generate a one way "check sum" for a larger text, which is not trivially reversed. The result of this hash function can be used to validate if a larger file has been altered, without having to compare the larger files to each other. Frequently used hash functions are MD5 and SHA1.</w:t>
      </w:r>
    </w:p>
    <w:p w:rsidR="00893784" w:rsidRPr="001D05D3" w:rsidRDefault="00893784" w:rsidP="001D05D3">
      <w:pPr>
        <w:pStyle w:val="ListParagraph"/>
        <w:numPr>
          <w:ilvl w:val="0"/>
          <w:numId w:val="50"/>
        </w:numPr>
        <w:spacing w:line="276" w:lineRule="auto"/>
        <w:rPr>
          <w:lang w:val="en-US"/>
        </w:rPr>
      </w:pPr>
      <w:r w:rsidRPr="001D05D3">
        <w:rPr>
          <w:lang w:val="en-US"/>
        </w:rPr>
        <w:t>Software: Computer programs (which are stored in and executed by computer hardware) and associated data (which also is stored in the hardware) that may be dynamically written or modified during execution.</w:t>
      </w:r>
    </w:p>
    <w:p w:rsidR="00893784" w:rsidRPr="00786478" w:rsidRDefault="00893784" w:rsidP="00893784">
      <w:pPr>
        <w:spacing w:line="276" w:lineRule="auto"/>
        <w:rPr>
          <w:lang w:val="en-US"/>
        </w:rPr>
      </w:pPr>
    </w:p>
    <w:sectPr w:rsidR="00893784" w:rsidRPr="00786478" w:rsidSect="00085617">
      <w:headerReference w:type="default" r:id="rId14"/>
      <w:footerReference w:type="default" r:id="rId15"/>
      <w:pgSz w:w="11907" w:h="16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057" w:rsidRDefault="00FF6057">
      <w:r>
        <w:separator/>
      </w:r>
    </w:p>
  </w:endnote>
  <w:endnote w:type="continuationSeparator" w:id="0">
    <w:p w:rsidR="00FF6057" w:rsidRDefault="00FF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</w:rPr>
      <w:id w:val="-1249490489"/>
      <w:docPartObj>
        <w:docPartGallery w:val="Page Numbers (Bottom of Page)"/>
        <w:docPartUnique/>
      </w:docPartObj>
    </w:sdtPr>
    <w:sdtEndPr/>
    <w:sdtContent>
      <w:p w:rsidR="00CB7391" w:rsidRPr="005A23F0" w:rsidRDefault="00893784" w:rsidP="005A23F0">
        <w:pPr>
          <w:pStyle w:val="Footer"/>
          <w:tabs>
            <w:tab w:val="clear" w:pos="8306"/>
          </w:tabs>
          <w:rPr>
            <w:rFonts w:cs="Arial"/>
          </w:rPr>
        </w:pPr>
        <w:r>
          <w:rPr>
            <w:rFonts w:cs="Arial"/>
          </w:rPr>
          <w:t>MidTown_IT Security_Policy</w:t>
        </w:r>
        <w:r w:rsidR="00CB7391">
          <w:rPr>
            <w:rFonts w:cs="Arial"/>
          </w:rPr>
          <w:t>_Version_V1.0</w:t>
        </w:r>
        <w:r w:rsidR="00CB7391">
          <w:rPr>
            <w:rFonts w:cs="Arial"/>
          </w:rPr>
          <w:tab/>
        </w:r>
        <w:r w:rsidR="00CB7391">
          <w:rPr>
            <w:rFonts w:cs="Arial"/>
          </w:rPr>
          <w:tab/>
        </w:r>
        <w:r w:rsidR="00CB7391">
          <w:rPr>
            <w:rFonts w:cs="Arial"/>
          </w:rPr>
          <w:tab/>
        </w:r>
        <w:r w:rsidR="00CB7391">
          <w:rPr>
            <w:rFonts w:cs="Arial"/>
          </w:rPr>
          <w:tab/>
        </w:r>
        <w:r w:rsidR="00CB7391">
          <w:rPr>
            <w:rFonts w:cs="Arial"/>
          </w:rPr>
          <w:tab/>
        </w:r>
        <w:r w:rsidR="00CB7391">
          <w:rPr>
            <w:rFonts w:cs="Arial"/>
          </w:rPr>
          <w:tab/>
        </w:r>
        <w:r w:rsidR="00CB7391">
          <w:rPr>
            <w:rFonts w:cs="Arial"/>
          </w:rPr>
          <w:tab/>
        </w:r>
        <w:r w:rsidR="00CB7391" w:rsidRPr="00991263">
          <w:rPr>
            <w:rFonts w:cs="Arial"/>
          </w:rPr>
          <w:t xml:space="preserve">Page | </w:t>
        </w:r>
        <w:r w:rsidR="00CB7391" w:rsidRPr="00991263">
          <w:rPr>
            <w:rFonts w:cs="Arial"/>
          </w:rPr>
          <w:fldChar w:fldCharType="begin"/>
        </w:r>
        <w:r w:rsidR="00CB7391" w:rsidRPr="00991263">
          <w:rPr>
            <w:rFonts w:cs="Arial"/>
          </w:rPr>
          <w:instrText xml:space="preserve"> PAGE   \* MERGEFORMAT </w:instrText>
        </w:r>
        <w:r w:rsidR="00CB7391" w:rsidRPr="00991263">
          <w:rPr>
            <w:rFonts w:cs="Arial"/>
          </w:rPr>
          <w:fldChar w:fldCharType="separate"/>
        </w:r>
        <w:r w:rsidR="001E0717">
          <w:rPr>
            <w:rFonts w:cs="Arial"/>
            <w:noProof/>
          </w:rPr>
          <w:t>1</w:t>
        </w:r>
        <w:r w:rsidR="00CB7391" w:rsidRPr="00991263">
          <w:rPr>
            <w:rFonts w:cs="Arial"/>
            <w:noProof/>
          </w:rPr>
          <w:fldChar w:fldCharType="end"/>
        </w:r>
        <w:r w:rsidR="00CB7391" w:rsidRPr="00991263">
          <w:rPr>
            <w:rFonts w:cs="Arial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057" w:rsidRDefault="00FF6057">
      <w:r>
        <w:separator/>
      </w:r>
    </w:p>
  </w:footnote>
  <w:footnote w:type="continuationSeparator" w:id="0">
    <w:p w:rsidR="00FF6057" w:rsidRDefault="00FF6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391" w:rsidRPr="00085617" w:rsidRDefault="00CB7391">
    <w:pPr>
      <w:pStyle w:val="Header"/>
      <w:rPr>
        <w:rFonts w:cs="Arial"/>
        <w:sz w:val="18"/>
        <w:szCs w:val="18"/>
      </w:rPr>
    </w:pPr>
    <w:r w:rsidRPr="008B70B4">
      <w:rPr>
        <w:rFonts w:cs="Arial"/>
        <w:color w:val="44546A" w:themeColor="text2"/>
        <w:sz w:val="18"/>
        <w:szCs w:val="18"/>
      </w:rPr>
      <w:t xml:space="preserve">MidTown IT </w:t>
    </w:r>
    <w:r w:rsidR="00893784">
      <w:rPr>
        <w:rFonts w:cs="Arial"/>
        <w:color w:val="44546A" w:themeColor="text2"/>
        <w:sz w:val="18"/>
        <w:szCs w:val="18"/>
      </w:rPr>
      <w:t>Security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8FCDD7"/>
    <w:multiLevelType w:val="multilevel"/>
    <w:tmpl w:val="858FCDD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16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47D59"/>
    <w:multiLevelType w:val="hybridMultilevel"/>
    <w:tmpl w:val="34C6E924"/>
    <w:lvl w:ilvl="0" w:tplc="0C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2" w15:restartNumberingAfterBreak="0">
    <w:nsid w:val="04154A17"/>
    <w:multiLevelType w:val="multilevel"/>
    <w:tmpl w:val="49D777FE"/>
    <w:lvl w:ilvl="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C74EDF"/>
    <w:multiLevelType w:val="hybridMultilevel"/>
    <w:tmpl w:val="160662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472CF"/>
    <w:multiLevelType w:val="multilevel"/>
    <w:tmpl w:val="078472CF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7CE0C8F"/>
    <w:multiLevelType w:val="hybridMultilevel"/>
    <w:tmpl w:val="87ECD1B8"/>
    <w:lvl w:ilvl="0" w:tplc="1C90453C">
      <w:start w:val="1"/>
      <w:numFmt w:val="lowerLetter"/>
      <w:lvlText w:val="%1)"/>
      <w:lvlJc w:val="left"/>
      <w:pPr>
        <w:ind w:left="1176" w:hanging="45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4E243F"/>
    <w:multiLevelType w:val="multilevel"/>
    <w:tmpl w:val="084E243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CEC7827"/>
    <w:multiLevelType w:val="multilevel"/>
    <w:tmpl w:val="0CEC7827"/>
    <w:lvl w:ilvl="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DCD19AA"/>
    <w:multiLevelType w:val="hybridMultilevel"/>
    <w:tmpl w:val="8D92B4B4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0DF52ACA"/>
    <w:multiLevelType w:val="hybridMultilevel"/>
    <w:tmpl w:val="86FCE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48A6E"/>
    <w:multiLevelType w:val="singleLevel"/>
    <w:tmpl w:val="12848A6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1" w15:restartNumberingAfterBreak="0">
    <w:nsid w:val="133C173B"/>
    <w:multiLevelType w:val="hybridMultilevel"/>
    <w:tmpl w:val="77BA9AD2"/>
    <w:lvl w:ilvl="0" w:tplc="C31E0C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E96714"/>
    <w:multiLevelType w:val="multilevel"/>
    <w:tmpl w:val="14E96714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510459D"/>
    <w:multiLevelType w:val="hybridMultilevel"/>
    <w:tmpl w:val="C226E6F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139F4"/>
    <w:multiLevelType w:val="hybridMultilevel"/>
    <w:tmpl w:val="28222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51738F"/>
    <w:multiLevelType w:val="multilevel"/>
    <w:tmpl w:val="49D777FE"/>
    <w:lvl w:ilvl="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19C03EE"/>
    <w:multiLevelType w:val="multilevel"/>
    <w:tmpl w:val="219C03EE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1AF6BB6"/>
    <w:multiLevelType w:val="hybridMultilevel"/>
    <w:tmpl w:val="764251A6"/>
    <w:lvl w:ilvl="0" w:tplc="AF22589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82482C"/>
    <w:multiLevelType w:val="multilevel"/>
    <w:tmpl w:val="2482482C"/>
    <w:lvl w:ilvl="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8BD0305"/>
    <w:multiLevelType w:val="hybridMultilevel"/>
    <w:tmpl w:val="D6B804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C0A7D"/>
    <w:multiLevelType w:val="hybridMultilevel"/>
    <w:tmpl w:val="FA681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A5527"/>
    <w:multiLevelType w:val="hybridMultilevel"/>
    <w:tmpl w:val="18D86E10"/>
    <w:lvl w:ilvl="0" w:tplc="0C090017">
      <w:start w:val="1"/>
      <w:numFmt w:val="lowerLetter"/>
      <w:lvlText w:val="%1)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2C445DC2"/>
    <w:multiLevelType w:val="multilevel"/>
    <w:tmpl w:val="59EE8E9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2EA82E12"/>
    <w:multiLevelType w:val="multilevel"/>
    <w:tmpl w:val="2EA82E12"/>
    <w:lvl w:ilvl="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F366D68"/>
    <w:multiLevelType w:val="multilevel"/>
    <w:tmpl w:val="49D777FE"/>
    <w:lvl w:ilvl="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1430561"/>
    <w:multiLevelType w:val="multilevel"/>
    <w:tmpl w:val="3143056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342331"/>
    <w:multiLevelType w:val="multilevel"/>
    <w:tmpl w:val="EADA696A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0" w:hanging="9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990" w:hanging="99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90" w:hanging="99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348804C5"/>
    <w:multiLevelType w:val="hybridMultilevel"/>
    <w:tmpl w:val="8A94B5C4"/>
    <w:lvl w:ilvl="0" w:tplc="B498AC4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521832"/>
    <w:multiLevelType w:val="multilevel"/>
    <w:tmpl w:val="36521832"/>
    <w:lvl w:ilvl="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9D777FE"/>
    <w:multiLevelType w:val="multilevel"/>
    <w:tmpl w:val="49D777FE"/>
    <w:lvl w:ilvl="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BCB0001"/>
    <w:multiLevelType w:val="multilevel"/>
    <w:tmpl w:val="4BCB0001"/>
    <w:lvl w:ilvl="0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31" w15:restartNumberingAfterBreak="0">
    <w:nsid w:val="517820FA"/>
    <w:multiLevelType w:val="multilevel"/>
    <w:tmpl w:val="517820FA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2" w15:restartNumberingAfterBreak="0">
    <w:nsid w:val="555C6AEC"/>
    <w:multiLevelType w:val="hybridMultilevel"/>
    <w:tmpl w:val="037CFDE4"/>
    <w:lvl w:ilvl="0" w:tplc="0C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E6504BD"/>
    <w:multiLevelType w:val="multilevel"/>
    <w:tmpl w:val="5E6504BD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F520F9C"/>
    <w:multiLevelType w:val="hybridMultilevel"/>
    <w:tmpl w:val="0BB6C526"/>
    <w:lvl w:ilvl="0" w:tplc="C31E0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45C2E"/>
    <w:multiLevelType w:val="hybridMultilevel"/>
    <w:tmpl w:val="050E3118"/>
    <w:lvl w:ilvl="0" w:tplc="CFC41FCA">
      <w:start w:val="1"/>
      <w:numFmt w:val="lowerLetter"/>
      <w:lvlText w:val="%1)"/>
      <w:lvlJc w:val="left"/>
      <w:pPr>
        <w:ind w:left="1429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2F319E"/>
    <w:multiLevelType w:val="hybridMultilevel"/>
    <w:tmpl w:val="56EAA2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82B4E"/>
    <w:multiLevelType w:val="hybridMultilevel"/>
    <w:tmpl w:val="BD340000"/>
    <w:lvl w:ilvl="0" w:tplc="7212AF7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70" w:hanging="360"/>
      </w:pPr>
    </w:lvl>
    <w:lvl w:ilvl="2" w:tplc="0C09001B" w:tentative="1">
      <w:start w:val="1"/>
      <w:numFmt w:val="lowerRoman"/>
      <w:lvlText w:val="%3."/>
      <w:lvlJc w:val="right"/>
      <w:pPr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653E465E"/>
    <w:multiLevelType w:val="hybridMultilevel"/>
    <w:tmpl w:val="9B2C7CE0"/>
    <w:lvl w:ilvl="0" w:tplc="DB282BCC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9B279A"/>
    <w:multiLevelType w:val="hybridMultilevel"/>
    <w:tmpl w:val="0066B9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97540"/>
    <w:multiLevelType w:val="hybridMultilevel"/>
    <w:tmpl w:val="AE3E1B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17887"/>
    <w:multiLevelType w:val="hybridMultilevel"/>
    <w:tmpl w:val="5DB08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B68C4"/>
    <w:multiLevelType w:val="multilevel"/>
    <w:tmpl w:val="6A5B68C4"/>
    <w:lvl w:ilvl="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D56551D"/>
    <w:multiLevelType w:val="hybridMultilevel"/>
    <w:tmpl w:val="1A80F06A"/>
    <w:lvl w:ilvl="0" w:tplc="C31E0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241D4C"/>
    <w:multiLevelType w:val="hybridMultilevel"/>
    <w:tmpl w:val="278C8352"/>
    <w:lvl w:ilvl="0" w:tplc="C31E0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33A88"/>
    <w:multiLevelType w:val="multilevel"/>
    <w:tmpl w:val="75533A88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8B03AC1"/>
    <w:multiLevelType w:val="hybridMultilevel"/>
    <w:tmpl w:val="9DFC3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8798C"/>
    <w:multiLevelType w:val="hybridMultilevel"/>
    <w:tmpl w:val="72106BA6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F3C7417"/>
    <w:multiLevelType w:val="hybridMultilevel"/>
    <w:tmpl w:val="D37244DE"/>
    <w:lvl w:ilvl="0" w:tplc="C31E0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42609A"/>
    <w:multiLevelType w:val="hybridMultilevel"/>
    <w:tmpl w:val="25A6B926"/>
    <w:lvl w:ilvl="0" w:tplc="5DFC131A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70" w:hanging="360"/>
      </w:pPr>
    </w:lvl>
    <w:lvl w:ilvl="2" w:tplc="0C09001B" w:tentative="1">
      <w:start w:val="1"/>
      <w:numFmt w:val="lowerRoman"/>
      <w:lvlText w:val="%3."/>
      <w:lvlJc w:val="right"/>
      <w:pPr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6"/>
  </w:num>
  <w:num w:numId="2">
    <w:abstractNumId w:val="23"/>
  </w:num>
  <w:num w:numId="3">
    <w:abstractNumId w:val="18"/>
  </w:num>
  <w:num w:numId="4">
    <w:abstractNumId w:val="42"/>
  </w:num>
  <w:num w:numId="5">
    <w:abstractNumId w:val="28"/>
  </w:num>
  <w:num w:numId="6">
    <w:abstractNumId w:val="7"/>
  </w:num>
  <w:num w:numId="7">
    <w:abstractNumId w:val="29"/>
  </w:num>
  <w:num w:numId="8">
    <w:abstractNumId w:val="33"/>
  </w:num>
  <w:num w:numId="9">
    <w:abstractNumId w:val="12"/>
  </w:num>
  <w:num w:numId="10">
    <w:abstractNumId w:val="31"/>
  </w:num>
  <w:num w:numId="11">
    <w:abstractNumId w:val="30"/>
  </w:num>
  <w:num w:numId="12">
    <w:abstractNumId w:val="4"/>
  </w:num>
  <w:num w:numId="13">
    <w:abstractNumId w:val="10"/>
  </w:num>
  <w:num w:numId="14">
    <w:abstractNumId w:val="6"/>
  </w:num>
  <w:num w:numId="15">
    <w:abstractNumId w:val="0"/>
  </w:num>
  <w:num w:numId="16">
    <w:abstractNumId w:val="2"/>
  </w:num>
  <w:num w:numId="17">
    <w:abstractNumId w:val="15"/>
  </w:num>
  <w:num w:numId="18">
    <w:abstractNumId w:val="24"/>
  </w:num>
  <w:num w:numId="19">
    <w:abstractNumId w:val="1"/>
  </w:num>
  <w:num w:numId="20">
    <w:abstractNumId w:val="41"/>
  </w:num>
  <w:num w:numId="21">
    <w:abstractNumId w:val="46"/>
  </w:num>
  <w:num w:numId="22">
    <w:abstractNumId w:val="14"/>
  </w:num>
  <w:num w:numId="23">
    <w:abstractNumId w:val="47"/>
  </w:num>
  <w:num w:numId="24">
    <w:abstractNumId w:val="8"/>
  </w:num>
  <w:num w:numId="25">
    <w:abstractNumId w:val="48"/>
  </w:num>
  <w:num w:numId="26">
    <w:abstractNumId w:val="9"/>
  </w:num>
  <w:num w:numId="27">
    <w:abstractNumId w:val="43"/>
  </w:num>
  <w:num w:numId="28">
    <w:abstractNumId w:val="5"/>
  </w:num>
  <w:num w:numId="29">
    <w:abstractNumId w:val="11"/>
  </w:num>
  <w:num w:numId="30">
    <w:abstractNumId w:val="32"/>
  </w:num>
  <w:num w:numId="31">
    <w:abstractNumId w:val="19"/>
  </w:num>
  <w:num w:numId="32">
    <w:abstractNumId w:val="34"/>
  </w:num>
  <w:num w:numId="33">
    <w:abstractNumId w:val="35"/>
  </w:num>
  <w:num w:numId="34">
    <w:abstractNumId w:val="25"/>
  </w:num>
  <w:num w:numId="35">
    <w:abstractNumId w:val="44"/>
  </w:num>
  <w:num w:numId="36">
    <w:abstractNumId w:val="21"/>
  </w:num>
  <w:num w:numId="37">
    <w:abstractNumId w:val="45"/>
  </w:num>
  <w:num w:numId="38">
    <w:abstractNumId w:val="40"/>
  </w:num>
  <w:num w:numId="39">
    <w:abstractNumId w:val="17"/>
  </w:num>
  <w:num w:numId="40">
    <w:abstractNumId w:val="3"/>
  </w:num>
  <w:num w:numId="41">
    <w:abstractNumId w:val="39"/>
  </w:num>
  <w:num w:numId="42">
    <w:abstractNumId w:val="13"/>
  </w:num>
  <w:num w:numId="43">
    <w:abstractNumId w:val="27"/>
  </w:num>
  <w:num w:numId="44">
    <w:abstractNumId w:val="26"/>
  </w:num>
  <w:num w:numId="45">
    <w:abstractNumId w:val="37"/>
  </w:num>
  <w:num w:numId="46">
    <w:abstractNumId w:val="49"/>
  </w:num>
  <w:num w:numId="47">
    <w:abstractNumId w:val="36"/>
  </w:num>
  <w:num w:numId="48">
    <w:abstractNumId w:val="22"/>
  </w:num>
  <w:num w:numId="49">
    <w:abstractNumId w:val="3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02"/>
    <w:rsid w:val="00003C6C"/>
    <w:rsid w:val="00015C07"/>
    <w:rsid w:val="00024413"/>
    <w:rsid w:val="000305D4"/>
    <w:rsid w:val="00045D37"/>
    <w:rsid w:val="00047EC9"/>
    <w:rsid w:val="000575DE"/>
    <w:rsid w:val="00057831"/>
    <w:rsid w:val="00062C4C"/>
    <w:rsid w:val="00065A83"/>
    <w:rsid w:val="00085617"/>
    <w:rsid w:val="00097492"/>
    <w:rsid w:val="000A6CAD"/>
    <w:rsid w:val="001244A2"/>
    <w:rsid w:val="00146338"/>
    <w:rsid w:val="00147EE6"/>
    <w:rsid w:val="001A3A44"/>
    <w:rsid w:val="001A6130"/>
    <w:rsid w:val="001C666A"/>
    <w:rsid w:val="001D05D3"/>
    <w:rsid w:val="001D10B0"/>
    <w:rsid w:val="001E0717"/>
    <w:rsid w:val="001F45F4"/>
    <w:rsid w:val="00207AC2"/>
    <w:rsid w:val="0021261F"/>
    <w:rsid w:val="00214C00"/>
    <w:rsid w:val="002355F0"/>
    <w:rsid w:val="00266E4C"/>
    <w:rsid w:val="002B79C4"/>
    <w:rsid w:val="002C2417"/>
    <w:rsid w:val="00314BBC"/>
    <w:rsid w:val="00315ED9"/>
    <w:rsid w:val="00352B82"/>
    <w:rsid w:val="0039298C"/>
    <w:rsid w:val="003A12A2"/>
    <w:rsid w:val="003C6C40"/>
    <w:rsid w:val="003D33D9"/>
    <w:rsid w:val="003D3E1A"/>
    <w:rsid w:val="003D4D74"/>
    <w:rsid w:val="00400E1D"/>
    <w:rsid w:val="00403456"/>
    <w:rsid w:val="004047E6"/>
    <w:rsid w:val="00405A2E"/>
    <w:rsid w:val="004122BC"/>
    <w:rsid w:val="004168C4"/>
    <w:rsid w:val="004372FC"/>
    <w:rsid w:val="0044115D"/>
    <w:rsid w:val="00464B0C"/>
    <w:rsid w:val="00465D1A"/>
    <w:rsid w:val="004713DE"/>
    <w:rsid w:val="0047727A"/>
    <w:rsid w:val="00483451"/>
    <w:rsid w:val="00485910"/>
    <w:rsid w:val="00486AD1"/>
    <w:rsid w:val="004A4FB7"/>
    <w:rsid w:val="004B1023"/>
    <w:rsid w:val="004D7690"/>
    <w:rsid w:val="004F07B9"/>
    <w:rsid w:val="004F2231"/>
    <w:rsid w:val="00511A8C"/>
    <w:rsid w:val="00533F94"/>
    <w:rsid w:val="0055375D"/>
    <w:rsid w:val="00587593"/>
    <w:rsid w:val="005A23F0"/>
    <w:rsid w:val="005A723A"/>
    <w:rsid w:val="005D43AF"/>
    <w:rsid w:val="005F49C9"/>
    <w:rsid w:val="00623CC3"/>
    <w:rsid w:val="006D0DCF"/>
    <w:rsid w:val="006D4A91"/>
    <w:rsid w:val="006F427D"/>
    <w:rsid w:val="00710E20"/>
    <w:rsid w:val="007576A8"/>
    <w:rsid w:val="00760308"/>
    <w:rsid w:val="00766BA3"/>
    <w:rsid w:val="007712E7"/>
    <w:rsid w:val="00775FB3"/>
    <w:rsid w:val="007A0A5B"/>
    <w:rsid w:val="007A0C53"/>
    <w:rsid w:val="007A46BE"/>
    <w:rsid w:val="007B1F1F"/>
    <w:rsid w:val="007B344D"/>
    <w:rsid w:val="007B38E2"/>
    <w:rsid w:val="007B6789"/>
    <w:rsid w:val="007E04D4"/>
    <w:rsid w:val="007F547E"/>
    <w:rsid w:val="00804ECE"/>
    <w:rsid w:val="0081679B"/>
    <w:rsid w:val="00831349"/>
    <w:rsid w:val="008315A2"/>
    <w:rsid w:val="00843F49"/>
    <w:rsid w:val="00871798"/>
    <w:rsid w:val="00892112"/>
    <w:rsid w:val="00893784"/>
    <w:rsid w:val="008B70B4"/>
    <w:rsid w:val="008C1115"/>
    <w:rsid w:val="008C14D5"/>
    <w:rsid w:val="008C5354"/>
    <w:rsid w:val="008D514B"/>
    <w:rsid w:val="008E39BE"/>
    <w:rsid w:val="00912402"/>
    <w:rsid w:val="00912674"/>
    <w:rsid w:val="00913DB6"/>
    <w:rsid w:val="0092739E"/>
    <w:rsid w:val="009411B3"/>
    <w:rsid w:val="0094254B"/>
    <w:rsid w:val="00991263"/>
    <w:rsid w:val="00996A4B"/>
    <w:rsid w:val="009A4488"/>
    <w:rsid w:val="009D7A5D"/>
    <w:rsid w:val="009E48B4"/>
    <w:rsid w:val="00A43451"/>
    <w:rsid w:val="00A53BE8"/>
    <w:rsid w:val="00A7002B"/>
    <w:rsid w:val="00A7272A"/>
    <w:rsid w:val="00A8479B"/>
    <w:rsid w:val="00AB5082"/>
    <w:rsid w:val="00AB75C5"/>
    <w:rsid w:val="00AF388E"/>
    <w:rsid w:val="00B254A7"/>
    <w:rsid w:val="00B2558B"/>
    <w:rsid w:val="00B37D35"/>
    <w:rsid w:val="00B512CA"/>
    <w:rsid w:val="00B83AB9"/>
    <w:rsid w:val="00BA43D0"/>
    <w:rsid w:val="00BB026F"/>
    <w:rsid w:val="00BC1E8D"/>
    <w:rsid w:val="00BC522C"/>
    <w:rsid w:val="00BF150D"/>
    <w:rsid w:val="00C16F6E"/>
    <w:rsid w:val="00C47A1D"/>
    <w:rsid w:val="00C92126"/>
    <w:rsid w:val="00C93C43"/>
    <w:rsid w:val="00C957E1"/>
    <w:rsid w:val="00C95EA3"/>
    <w:rsid w:val="00CA284F"/>
    <w:rsid w:val="00CA3E29"/>
    <w:rsid w:val="00CB29F6"/>
    <w:rsid w:val="00CB3523"/>
    <w:rsid w:val="00CB7391"/>
    <w:rsid w:val="00CC1D2F"/>
    <w:rsid w:val="00CE2F53"/>
    <w:rsid w:val="00CF6AEC"/>
    <w:rsid w:val="00D01D61"/>
    <w:rsid w:val="00D0519D"/>
    <w:rsid w:val="00D22DA8"/>
    <w:rsid w:val="00D75191"/>
    <w:rsid w:val="00D81069"/>
    <w:rsid w:val="00DB6B3A"/>
    <w:rsid w:val="00DE5856"/>
    <w:rsid w:val="00E202C8"/>
    <w:rsid w:val="00E25360"/>
    <w:rsid w:val="00E72DE8"/>
    <w:rsid w:val="00E77F30"/>
    <w:rsid w:val="00E81220"/>
    <w:rsid w:val="00E85990"/>
    <w:rsid w:val="00E96AEF"/>
    <w:rsid w:val="00EA2ABD"/>
    <w:rsid w:val="00EC4AA8"/>
    <w:rsid w:val="00EC5CDB"/>
    <w:rsid w:val="00ED344C"/>
    <w:rsid w:val="00EF0421"/>
    <w:rsid w:val="00EF10D3"/>
    <w:rsid w:val="00EF7BB9"/>
    <w:rsid w:val="00F16036"/>
    <w:rsid w:val="00F4488F"/>
    <w:rsid w:val="00F56CE3"/>
    <w:rsid w:val="00F65131"/>
    <w:rsid w:val="00F71A95"/>
    <w:rsid w:val="00F74412"/>
    <w:rsid w:val="00F76E3C"/>
    <w:rsid w:val="00F91863"/>
    <w:rsid w:val="00FD540B"/>
    <w:rsid w:val="00FE1589"/>
    <w:rsid w:val="00FF6057"/>
    <w:rsid w:val="06863964"/>
    <w:rsid w:val="07460FFA"/>
    <w:rsid w:val="07DA6997"/>
    <w:rsid w:val="10A21601"/>
    <w:rsid w:val="143413B9"/>
    <w:rsid w:val="152E1E5A"/>
    <w:rsid w:val="17E17150"/>
    <w:rsid w:val="1E837CA1"/>
    <w:rsid w:val="23FC09DD"/>
    <w:rsid w:val="2DFB2D41"/>
    <w:rsid w:val="31EB11FE"/>
    <w:rsid w:val="322221DC"/>
    <w:rsid w:val="36E72EA9"/>
    <w:rsid w:val="38E03679"/>
    <w:rsid w:val="3A214876"/>
    <w:rsid w:val="3B6F0A32"/>
    <w:rsid w:val="41AE7225"/>
    <w:rsid w:val="44CB0DFE"/>
    <w:rsid w:val="4EE37A22"/>
    <w:rsid w:val="50CA619D"/>
    <w:rsid w:val="513E67CD"/>
    <w:rsid w:val="520C7F7D"/>
    <w:rsid w:val="54C95776"/>
    <w:rsid w:val="567F2B1E"/>
    <w:rsid w:val="583C6C6E"/>
    <w:rsid w:val="58B83E06"/>
    <w:rsid w:val="5AC8398A"/>
    <w:rsid w:val="6D885A35"/>
    <w:rsid w:val="7D0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7A455"/>
  <w15:chartTrackingRefBased/>
  <w15:docId w15:val="{8B03A1AF-E866-496B-90F8-5181E986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D6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F71A95"/>
    <w:pPr>
      <w:keepNext/>
      <w:pBdr>
        <w:bottom w:val="single" w:sz="6" w:space="1" w:color="auto"/>
      </w:pBdr>
      <w:spacing w:before="240"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autoRedefine/>
    <w:qFormat/>
    <w:rsid w:val="00015C07"/>
    <w:pPr>
      <w:keepNext/>
      <w:tabs>
        <w:tab w:val="left" w:pos="851"/>
      </w:tabs>
      <w:spacing w:before="240" w:after="60"/>
      <w:outlineLvl w:val="1"/>
    </w:pPr>
    <w:rPr>
      <w:rFonts w:cs="Arial"/>
      <w:b/>
      <w:sz w:val="24"/>
      <w:szCs w:val="22"/>
    </w:rPr>
  </w:style>
  <w:style w:type="paragraph" w:styleId="Heading3">
    <w:name w:val="heading 3"/>
    <w:basedOn w:val="Normal"/>
    <w:next w:val="Normal"/>
    <w:autoRedefine/>
    <w:qFormat/>
    <w:rsid w:val="003A12A2"/>
    <w:pPr>
      <w:keepNext/>
      <w:spacing w:before="240" w:after="60"/>
      <w:outlineLvl w:val="2"/>
    </w:pPr>
    <w:rPr>
      <w:rFonts w:ascii="Tahoma" w:hAnsi="Tahoma" w:cs="Arial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lang w:val="en-GB" w:eastAsia="en-US"/>
    </w:rPr>
  </w:style>
  <w:style w:type="character" w:customStyle="1" w:styleId="FooterChar">
    <w:name w:val="Footer Char"/>
    <w:link w:val="Footer"/>
    <w:uiPriority w:val="99"/>
    <w:rPr>
      <w:sz w:val="16"/>
      <w:lang w:val="en-GB" w:eastAsia="en-US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GB" w:eastAsia="en-US"/>
    </w:rPr>
  </w:style>
  <w:style w:type="paragraph" w:styleId="BalloonText">
    <w:name w:val="Balloon Text"/>
    <w:basedOn w:val="Normal"/>
    <w:unhideWhenUsed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81220"/>
    <w:pPr>
      <w:tabs>
        <w:tab w:val="right" w:leader="dot" w:pos="8313"/>
      </w:tabs>
      <w:ind w:left="240"/>
    </w:pPr>
    <w:rPr>
      <w:lang w:val="en-AU" w:eastAsia="en-AU"/>
    </w:rPr>
  </w:style>
  <w:style w:type="paragraph" w:styleId="TOC1">
    <w:name w:val="toc 1"/>
    <w:basedOn w:val="Normal"/>
    <w:next w:val="Normal"/>
    <w:autoRedefine/>
    <w:uiPriority w:val="39"/>
    <w:rsid w:val="00E81220"/>
    <w:pPr>
      <w:tabs>
        <w:tab w:val="right" w:leader="dot" w:pos="8313"/>
      </w:tabs>
    </w:pPr>
    <w:rPr>
      <w:noProof/>
      <w:sz w:val="24"/>
      <w:lang w:val="en-AU" w:eastAsia="en-AU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ind w:left="480"/>
    </w:pPr>
    <w:rPr>
      <w:i/>
      <w:sz w:val="20"/>
      <w:lang w:val="en-AU" w:eastAsia="en-AU"/>
    </w:rPr>
  </w:style>
  <w:style w:type="paragraph" w:styleId="TOCHeading">
    <w:name w:val="TOC Heading"/>
    <w:basedOn w:val="Heading1"/>
    <w:next w:val="Normal"/>
    <w:autoRedefine/>
    <w:uiPriority w:val="39"/>
    <w:qFormat/>
    <w:rsid w:val="00E81220"/>
    <w:pPr>
      <w:keepLines/>
      <w:pBdr>
        <w:bottom w:val="none" w:sz="0" w:space="0" w:color="auto"/>
      </w:pBdr>
      <w:overflowPunct/>
      <w:autoSpaceDE/>
      <w:autoSpaceDN/>
      <w:adjustRightInd/>
      <w:spacing w:before="0" w:after="0" w:line="276" w:lineRule="auto"/>
      <w:textAlignment w:val="auto"/>
      <w:outlineLvl w:val="9"/>
    </w:pPr>
    <w:rPr>
      <w:rFonts w:eastAsia="MS Gothic"/>
      <w:b w:val="0"/>
      <w:bCs/>
      <w:kern w:val="0"/>
      <w:sz w:val="22"/>
      <w:szCs w:val="28"/>
      <w:lang w:val="en-US" w:eastAsia="ja-JP"/>
    </w:rPr>
  </w:style>
  <w:style w:type="paragraph" w:styleId="ListParagraph">
    <w:name w:val="List Paragraph"/>
    <w:aliases w:val="Questions and numbered lists"/>
    <w:basedOn w:val="Normal"/>
    <w:link w:val="ListParagraphChar"/>
    <w:uiPriority w:val="34"/>
    <w:qFormat/>
    <w:pPr>
      <w:widowControl w:val="0"/>
      <w:suppressAutoHyphens/>
      <w:overflowPunct/>
      <w:autoSpaceDE/>
      <w:autoSpaceDN/>
      <w:adjustRightInd/>
      <w:ind w:left="720"/>
      <w:contextualSpacing/>
      <w:textAlignment w:val="auto"/>
    </w:pPr>
    <w:rPr>
      <w:rFonts w:eastAsia="SimSun" w:cs="Mangal"/>
      <w:kern w:val="1"/>
      <w:szCs w:val="21"/>
      <w:lang w:val="en-AU" w:eastAsia="hi-IN" w:bidi="hi-IN"/>
    </w:rPr>
  </w:style>
  <w:style w:type="paragraph" w:customStyle="1" w:styleId="MajorTableText">
    <w:name w:val="Major Table Text"/>
    <w:basedOn w:val="Normal"/>
    <w:pPr>
      <w:overflowPunct/>
      <w:autoSpaceDE/>
      <w:autoSpaceDN/>
      <w:adjustRightInd/>
      <w:spacing w:before="60" w:after="60"/>
      <w:textAlignment w:val="auto"/>
    </w:pPr>
    <w:rPr>
      <w:rFonts w:ascii="Palatino" w:hAnsi="Palatino"/>
      <w:sz w:val="18"/>
      <w:lang w:val="en-AU"/>
    </w:rPr>
  </w:style>
  <w:style w:type="paragraph" w:customStyle="1" w:styleId="tips">
    <w:name w:val="tips"/>
    <w:basedOn w:val="ListParagraph"/>
    <w:link w:val="tipsChar"/>
    <w:qFormat/>
    <w:rsid w:val="00146338"/>
    <w:pPr>
      <w:widowControl/>
      <w:suppressAutoHyphens w:val="0"/>
      <w:spacing w:line="360" w:lineRule="auto"/>
      <w:ind w:left="0"/>
      <w:contextualSpacing w:val="0"/>
    </w:pPr>
    <w:rPr>
      <w:rFonts w:eastAsia="Calibri" w:cs="Arial"/>
      <w:color w:val="8DB3E2"/>
      <w:kern w:val="0"/>
      <w:szCs w:val="20"/>
      <w:lang w:eastAsia="en-US" w:bidi="ar-SA"/>
    </w:rPr>
  </w:style>
  <w:style w:type="character" w:customStyle="1" w:styleId="tipsChar">
    <w:name w:val="tips Char"/>
    <w:link w:val="tips"/>
    <w:rsid w:val="00146338"/>
    <w:rPr>
      <w:rFonts w:ascii="Arial" w:eastAsia="Calibri" w:hAnsi="Arial" w:cs="Arial"/>
      <w:color w:val="8DB3E2"/>
      <w:sz w:val="24"/>
      <w:lang w:eastAsia="en-US"/>
    </w:rPr>
  </w:style>
  <w:style w:type="table" w:styleId="TableGrid">
    <w:name w:val="Table Grid"/>
    <w:basedOn w:val="TableNormal"/>
    <w:uiPriority w:val="59"/>
    <w:rsid w:val="00485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760308"/>
    <w:rPr>
      <w:color w:val="808080"/>
    </w:rPr>
  </w:style>
  <w:style w:type="character" w:customStyle="1" w:styleId="eop">
    <w:name w:val="eop"/>
    <w:basedOn w:val="DefaultParagraphFont"/>
    <w:rsid w:val="004372FC"/>
  </w:style>
  <w:style w:type="character" w:customStyle="1" w:styleId="ListParagraphChar">
    <w:name w:val="List Paragraph Char"/>
    <w:aliases w:val="Questions and numbered lists Char"/>
    <w:link w:val="ListParagraph"/>
    <w:uiPriority w:val="34"/>
    <w:rsid w:val="004372FC"/>
    <w:rPr>
      <w:rFonts w:ascii="Arial" w:eastAsia="SimSun" w:hAnsi="Arial" w:cs="Mangal"/>
      <w:kern w:val="1"/>
      <w:sz w:val="24"/>
      <w:szCs w:val="21"/>
      <w:lang w:eastAsia="hi-IN" w:bidi="hi-IN"/>
    </w:rPr>
  </w:style>
  <w:style w:type="paragraph" w:customStyle="1" w:styleId="TableText">
    <w:name w:val="Table Text"/>
    <w:basedOn w:val="Normal"/>
    <w:uiPriority w:val="4"/>
    <w:qFormat/>
    <w:rsid w:val="00E25360"/>
    <w:pPr>
      <w:widowControl w:val="0"/>
      <w:suppressAutoHyphens/>
      <w:overflowPunct/>
      <w:autoSpaceDE/>
      <w:autoSpaceDN/>
      <w:adjustRightInd/>
      <w:spacing w:before="80" w:after="80" w:line="300" w:lineRule="auto"/>
      <w:textAlignment w:val="auto"/>
    </w:pPr>
    <w:rPr>
      <w:rFonts w:eastAsia="SimSun" w:cs="Arial"/>
      <w:kern w:val="1"/>
      <w:lang w:val="en-AU" w:eastAsia="hi-IN" w:bidi="hi-IN"/>
    </w:rPr>
  </w:style>
  <w:style w:type="character" w:styleId="Emphasis">
    <w:name w:val="Emphasis"/>
    <w:basedOn w:val="DefaultParagraphFont"/>
    <w:uiPriority w:val="20"/>
    <w:qFormat/>
    <w:rsid w:val="002355F0"/>
    <w:rPr>
      <w:i/>
      <w:iCs/>
    </w:rPr>
  </w:style>
  <w:style w:type="paragraph" w:customStyle="1" w:styleId="paragraph">
    <w:name w:val="paragraph"/>
    <w:basedOn w:val="Normal"/>
    <w:rsid w:val="00047EC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AU" w:eastAsia="en-AU"/>
    </w:rPr>
  </w:style>
  <w:style w:type="paragraph" w:customStyle="1" w:styleId="Tableheading">
    <w:name w:val="Table heading"/>
    <w:basedOn w:val="Normal"/>
    <w:qFormat/>
    <w:rsid w:val="00893784"/>
    <w:pPr>
      <w:tabs>
        <w:tab w:val="left" w:pos="1134"/>
      </w:tabs>
      <w:overflowPunct/>
      <w:autoSpaceDE/>
      <w:autoSpaceDN/>
      <w:adjustRightInd/>
      <w:spacing w:before="80" w:after="80" w:line="300" w:lineRule="auto"/>
      <w:textAlignment w:val="auto"/>
    </w:pPr>
    <w:rPr>
      <w:rFonts w:eastAsia="Calibri"/>
      <w:b/>
      <w:szCs w:val="22"/>
      <w:lang w:val="en-AU"/>
    </w:rPr>
  </w:style>
  <w:style w:type="paragraph" w:customStyle="1" w:styleId="Tabletext0">
    <w:name w:val="Table text"/>
    <w:basedOn w:val="Normal"/>
    <w:qFormat/>
    <w:rsid w:val="00893784"/>
    <w:pPr>
      <w:tabs>
        <w:tab w:val="left" w:pos="1134"/>
      </w:tabs>
      <w:overflowPunct/>
      <w:autoSpaceDE/>
      <w:autoSpaceDN/>
      <w:adjustRightInd/>
      <w:spacing w:before="80" w:after="80" w:line="300" w:lineRule="auto"/>
      <w:textAlignment w:val="auto"/>
    </w:pPr>
    <w:rPr>
      <w:rFonts w:eastAsia="Calibri"/>
      <w:szCs w:val="22"/>
      <w:lang w:val="en-AU"/>
    </w:rPr>
  </w:style>
  <w:style w:type="paragraph" w:styleId="PlainText">
    <w:name w:val="Plain Text"/>
    <w:basedOn w:val="Normal"/>
    <w:link w:val="PlainTextChar"/>
    <w:semiHidden/>
    <w:unhideWhenUsed/>
    <w:rsid w:val="00893784"/>
    <w:pPr>
      <w:overflowPunct/>
      <w:autoSpaceDE/>
      <w:autoSpaceDN/>
      <w:adjustRightInd/>
      <w:textAlignment w:val="auto"/>
    </w:pPr>
    <w:rPr>
      <w:rFonts w:ascii="Courier New" w:hAnsi="Courier New"/>
      <w:sz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893784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au/Details/C2021C00139" TargetMode="External"/><Relationship Id="rId13" Type="http://schemas.openxmlformats.org/officeDocument/2006/relationships/hyperlink" Target="https://www.oic.qld.gov.au/guidelines/for-government/guidelines-privacy-principles/privacy-compliance/overview-privacy-impact-assessment-process/undertaking-a-privacy-impact-assessment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usiness.qld.gov.au/running-business/protecting-business/risk-management/protecting-data/policies-procedur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st.gov/itl/smallbusinesscyber/securing-data-devic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dpr.eu/checklist/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protectivesecurity.gov.au/information/sensitive-classified-information/Pages/default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B5C7E759B7542951DC6F7F2BEE612" ma:contentTypeVersion="18" ma:contentTypeDescription="Create a new document." ma:contentTypeScope="" ma:versionID="3d8efc63f7581e87c3476766144da8a6">
  <xsd:schema xmlns:xsd="http://www.w3.org/2001/XMLSchema" xmlns:xs="http://www.w3.org/2001/XMLSchema" xmlns:p="http://schemas.microsoft.com/office/2006/metadata/properties" xmlns:ns1="http://schemas.microsoft.com/sharepoint/v3" xmlns:ns2="688aeeea-db70-49fc-acfa-1a2dd513aa3d" xmlns:ns3="ccda9f58-1f93-4a49-8fd5-9ad0648138ec" targetNamespace="http://schemas.microsoft.com/office/2006/metadata/properties" ma:root="true" ma:fieldsID="d12307e8067a14f6b05fb9ae2cd4a514" ns1:_="" ns2:_="" ns3:_="">
    <xsd:import namespace="http://schemas.microsoft.com/sharepoint/v3"/>
    <xsd:import namespace="688aeeea-db70-49fc-acfa-1a2dd513aa3d"/>
    <xsd:import namespace="ccda9f58-1f93-4a49-8fd5-9ad0648138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463035-ca11-4c67-998b-eb848b95b33b}" ma:internalName="TaxCatchAll" ma:showField="CatchAllData" ma:web="688aeeea-db70-49fc-acfa-1a2dd513a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9f58-1f93-4a49-8fd5-9ad06481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8aeeea-db70-49fc-acfa-1a2dd513aa3d" xsi:nil="true"/>
    <lcf76f155ced4ddcb4097134ff3c332f xmlns="ccda9f58-1f93-4a49-8fd5-9ad0648138ec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SharedWithUsers xmlns="688aeeea-db70-49fc-acfa-1a2dd513aa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E15AC80-1931-499B-BA2E-406A519FD5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1F4DC9-5ADE-4584-A090-DB3CC4AADF92}"/>
</file>

<file path=customXml/itemProps3.xml><?xml version="1.0" encoding="utf-8"?>
<ds:datastoreItem xmlns:ds="http://schemas.openxmlformats.org/officeDocument/2006/customXml" ds:itemID="{5D8D90F5-0526-40EB-B1BB-4B2349755874}"/>
</file>

<file path=customXml/itemProps4.xml><?xml version="1.0" encoding="utf-8"?>
<ds:datastoreItem xmlns:ds="http://schemas.openxmlformats.org/officeDocument/2006/customXml" ds:itemID="{049D057E-2C03-427A-A3B1-02355FEEB4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Sample Java[TM] Applet -kkkk</vt:lpstr>
    </vt:vector>
  </TitlesOfParts>
  <Company>MAJOR Software &amp; Text Publ.</Company>
  <LinksUpToDate>false</LinksUpToDate>
  <CharactersWithSpaces>11912</CharactersWithSpaces>
  <SharedDoc>false</SharedDoc>
  <HLinks>
    <vt:vector size="306" baseType="variant"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_Toc23162219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_Toc23162218</vt:lpwstr>
      </vt:variant>
      <vt:variant>
        <vt:i4>1507376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_Toc23162217</vt:lpwstr>
      </vt:variant>
      <vt:variant>
        <vt:i4>1441840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_Toc23162216</vt:lpwstr>
      </vt:variant>
      <vt:variant>
        <vt:i4>1376304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_Toc23162215</vt:lpwstr>
      </vt:variant>
      <vt:variant>
        <vt:i4>1310768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_Toc23162214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_Toc23162213</vt:lpwstr>
      </vt:variant>
      <vt:variant>
        <vt:i4>1179696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_Toc23162212</vt:lpwstr>
      </vt:variant>
      <vt:variant>
        <vt:i4>1114160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_Toc23162211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_Toc23162210</vt:lpwstr>
      </vt:variant>
      <vt:variant>
        <vt:i4>1638449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_Toc23162209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_Toc23162208</vt:lpwstr>
      </vt:variant>
      <vt:variant>
        <vt:i4>1507377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_Toc23162207</vt:lpwstr>
      </vt:variant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_Toc23162206</vt:lpwstr>
      </vt:variant>
      <vt:variant>
        <vt:i4>1376305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_Toc23162205</vt:lpwstr>
      </vt:variant>
      <vt:variant>
        <vt:i4>1310769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_Toc23162204</vt:lpwstr>
      </vt:variant>
      <vt:variant>
        <vt:i4>1245233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_Toc23162203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_Toc23162202</vt:lpwstr>
      </vt:variant>
      <vt:variant>
        <vt:i4>1114161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_Toc23162201</vt:lpwstr>
      </vt:variant>
      <vt:variant>
        <vt:i4>1048625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_Toc23162200</vt:lpwstr>
      </vt:variant>
      <vt:variant>
        <vt:i4>1703992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_Toc23162199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_Toc23162198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_Toc23162197</vt:lpwstr>
      </vt:variant>
      <vt:variant>
        <vt:i4>1376312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_Toc23162196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_Toc23162195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_Toc23162194</vt:lpwstr>
      </vt:variant>
      <vt:variant>
        <vt:i4>1048632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_Toc23162193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_Toc23162192</vt:lpwstr>
      </vt:variant>
      <vt:variant>
        <vt:i4>1179704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_Toc23162191</vt:lpwstr>
      </vt:variant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_Toc23162190</vt:lpwstr>
      </vt:variant>
      <vt:variant>
        <vt:i4>1703993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_Toc23162189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_Toc23162188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_Toc23162187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_Toc23162186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_Toc23162185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_Toc23162184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_Toc23162183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_Toc23162182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_Toc23162181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_Toc23162180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_Toc23162179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_Toc23162178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_Toc23162177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_Toc23162176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_Toc23162175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_Toc23162174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_Toc23162173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_Toc23162172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_Toc23162171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_Toc23162170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_Toc23162169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Java[TM] Applet -kkkk</dc:title>
  <dc:subject/>
  <dc:creator>Mark O'Reilly</dc:creator>
  <cp:keywords/>
  <dc:description/>
  <cp:lastModifiedBy>Perez, Manuela</cp:lastModifiedBy>
  <cp:revision>6</cp:revision>
  <cp:lastPrinted>2001-06-21T10:51:00Z</cp:lastPrinted>
  <dcterms:created xsi:type="dcterms:W3CDTF">2022-10-25T00:31:00Z</dcterms:created>
  <dcterms:modified xsi:type="dcterms:W3CDTF">2022-10-25T01:38:00Z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  <property fmtid="{D5CDD505-2E9C-101B-9397-08002B2CF9AE}" pid="3" name="GrammarlyDocumentId">
    <vt:lpwstr>6f76a8ac1e747c126d4524cf5deb9715733ae2adbdf8552fa74084624b018c89</vt:lpwstr>
  </property>
  <property fmtid="{D5CDD505-2E9C-101B-9397-08002B2CF9AE}" pid="4" name="ContentTypeId">
    <vt:lpwstr>0x01010043EB5C7E759B7542951DC6F7F2BEE612</vt:lpwstr>
  </property>
  <property fmtid="{D5CDD505-2E9C-101B-9397-08002B2CF9AE}" pid="5" name="Order">
    <vt:r8>9555000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MediaServiceImageTags">
    <vt:lpwstr/>
  </property>
</Properties>
</file>