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tif" ContentType="image/tiff"/>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5" w:type="dxa"/>
        <w:tblLayout w:type="fixed"/>
        <w:tblCellMar>
          <w:top w:w="0" w:type="dxa"/>
          <w:left w:w="108" w:type="dxa"/>
          <w:bottom w:w="0" w:type="dxa"/>
          <w:right w:w="108" w:type="dxa"/>
        </w:tblCellMar>
        <w:tblLook w:firstRow="1" w:noVBand="1" w:lastRow="0" w:firstColumn="1" w:lastColumn="0" w:noHBand="0" w:val="04a0"/>
      </w:tblPr>
      <w:tblGrid>
        <w:gridCol w:w="2608"/>
        <w:gridCol w:w="3181"/>
        <w:gridCol w:w="1253"/>
        <w:gridCol w:w="1251"/>
        <w:gridCol w:w="1910"/>
      </w:tblGrid>
      <w:tr>
        <w:trPr/>
        <w:tc>
          <w:tcPr>
            <w:tcW w:w="2608"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Name</w:t>
            </w:r>
          </w:p>
        </w:tc>
        <w:tc>
          <w:tcPr>
            <w:tcW w:w="318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0" w:name="StudentName"/>
            <w:bookmarkEnd w:id="0"/>
            <w:r>
              <w:rPr>
                <w:lang w:val="en-AU"/>
              </w:rPr>
              <w:t>Dylan Wondal</w:t>
            </w:r>
          </w:p>
        </w:tc>
        <w:tc>
          <w:tcPr>
            <w:tcW w:w="2504"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Number</w:t>
            </w:r>
          </w:p>
        </w:tc>
        <w:tc>
          <w:tcPr>
            <w:tcW w:w="1910" w:type="dxa"/>
            <w:tcBorders>
              <w:left w:val="single" w:sz="6" w:space="0" w:color="000000"/>
              <w:bottom w:val="single" w:sz="6" w:space="0" w:color="000000"/>
            </w:tcBorders>
            <w:vAlign w:val="center"/>
          </w:tcPr>
          <w:p>
            <w:pPr>
              <w:pStyle w:val="TableText"/>
              <w:widowControl w:val="false"/>
              <w:spacing w:before="80" w:after="80"/>
              <w:jc w:val="left"/>
              <w:rPr>
                <w:lang w:val="en-AU"/>
              </w:rPr>
            </w:pPr>
            <w:bookmarkStart w:id="1" w:name="StudentNbr"/>
            <w:bookmarkEnd w:id="1"/>
            <w:r>
              <w:rPr>
                <w:lang w:val="en-AU"/>
              </w:rPr>
              <w:t>473393445</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Unit Code/s &amp; Name/s</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bookmarkStart w:id="2" w:name="UnitCode_Name"/>
            <w:bookmarkEnd w:id="2"/>
            <w:r>
              <w:rPr>
                <w:lang w:val="en-AU"/>
              </w:rPr>
              <w:t>VU23217 Recognise the need for cyber security in an organisation</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lineRule="auto" w:line="300" w:before="80" w:after="80"/>
              <w:jc w:val="left"/>
              <w:rPr>
                <w:lang w:val="en-AU"/>
              </w:rPr>
            </w:pPr>
            <w:r>
              <w:rPr>
                <w:lang w:val="en-AU"/>
              </w:rPr>
              <w:t xml:space="preserve">Cluster Name </w:t>
              <w:br/>
            </w:r>
            <w:r>
              <w:rPr>
                <w:b w:val="false"/>
                <w:i/>
                <w:sz w:val="18"/>
                <w:lang w:val="en-AU"/>
              </w:rPr>
              <w:t xml:space="preserve">If applicable </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N/A</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Name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szCs w:val="22"/>
                <w:lang w:val="en-AU"/>
              </w:rPr>
              <w:t>Cyber Security Methodology Recommendation Portfolio</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Assessment Task No. </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szCs w:val="22"/>
                <w:lang w:val="en-AU"/>
              </w:rPr>
              <w:t>2 of 2</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Due Date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3" w:name="AssessDate"/>
            <w:bookmarkEnd w:id="3"/>
            <w:r>
              <w:rPr>
                <w:lang w:val="en-AU"/>
              </w:rPr>
              <w:t xml:space="preserve">Week 8 </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Date Submitted</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Assessor Name </w:t>
            </w:r>
          </w:p>
        </w:tc>
        <w:tc>
          <w:tcPr>
            <w:tcW w:w="7595" w:type="dxa"/>
            <w:gridSpan w:val="4"/>
            <w:tcBorders>
              <w:top w:val="single" w:sz="6" w:space="0" w:color="000000"/>
              <w:left w:val="single" w:sz="6" w:space="0" w:color="000000"/>
              <w:bottom w:val="single" w:sz="6" w:space="0" w:color="000000"/>
            </w:tcBorders>
            <w:vAlign w:val="center"/>
          </w:tcPr>
          <w:p>
            <w:pPr>
              <w:pStyle w:val="Normal"/>
              <w:widowControl w:val="false"/>
              <w:spacing w:before="120" w:after="0"/>
              <w:rPr/>
            </w:pPr>
            <w:r>
              <w:rPr/>
              <w:t>Elankayer Sithirasenan</w:t>
            </w:r>
          </w:p>
        </w:tc>
      </w:tr>
      <w:tr>
        <w:trPr/>
        <w:tc>
          <w:tcPr>
            <w:tcW w:w="10203"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lang w:val="en-AU"/>
              </w:rPr>
              <w:t>Student Declaration:</w:t>
            </w:r>
            <w:r>
              <w:rPr>
                <w:lang w:val="en-AU"/>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Student Signature</w:t>
            </w:r>
          </w:p>
        </w:tc>
        <w:tc>
          <w:tcPr>
            <w:tcW w:w="4434"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lang w:val="en-AU"/>
              </w:rPr>
            </w:r>
          </w:p>
        </w:tc>
        <w:tc>
          <w:tcPr>
            <w:tcW w:w="1251"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Date</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rHeight w:val="1243" w:hRule="atLeast"/>
        </w:trPr>
        <w:tc>
          <w:tcPr>
            <w:tcW w:w="10203" w:type="dxa"/>
            <w:gridSpan w:val="5"/>
            <w:tcBorders>
              <w:top w:val="single" w:sz="6" w:space="0" w:color="000000"/>
            </w:tcBorders>
            <w:shd w:color="auto" w:fill="auto" w:val="clear"/>
            <w:vAlign w:val="center"/>
          </w:tcPr>
          <w:p>
            <w:pPr>
              <w:pStyle w:val="Privacydisclaimer"/>
              <w:widowControl w:val="false"/>
              <w:spacing w:before="80" w:after="80"/>
              <w:jc w:val="both"/>
              <w:rPr>
                <w:sz w:val="20"/>
              </w:rPr>
            </w:pPr>
            <w:r>
              <w:rPr>
                <w:b/>
                <w:lang w:val="en-AU"/>
              </w:rPr>
              <w:t xml:space="preserve">PRIVACY STATEMENT: </w:t>
            </w:r>
            <w:r>
              <w:rPr>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lang w:val="en-AU"/>
                </w:rPr>
                <w:t>https://tafeqld.edu.au/global/privacy-policy.html</w:t>
              </w:r>
            </w:hyperlink>
            <w:r>
              <w:rPr>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lang w:val="en-AU"/>
                </w:rPr>
                <w:t>privacy@tafeqld.edu.au</w:t>
              </w:r>
            </w:hyperlink>
            <w:r>
              <w:rPr>
                <w:lang w:val="en-AU"/>
              </w:rPr>
              <w:t xml:space="preserve"> </w:t>
            </w:r>
          </w:p>
        </w:tc>
      </w:tr>
    </w:tbl>
    <w:p>
      <w:pPr>
        <w:pStyle w:val="NoSpacing"/>
        <w:rPr/>
      </w:pPr>
      <w:r>
        <w:rPr/>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06"/>
        <w:gridCol w:w="7699"/>
      </w:tblGrid>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Student</w:t>
            </w:r>
          </w:p>
        </w:tc>
        <w:tc>
          <w:tcPr>
            <w:tcW w:w="7699" w:type="dxa"/>
            <w:tcBorders/>
          </w:tcPr>
          <w:p>
            <w:pPr>
              <w:pStyle w:val="TableHeading"/>
              <w:widowControl w:val="false"/>
              <w:spacing w:before="80" w:after="80"/>
              <w:jc w:val="left"/>
              <w:rPr>
                <w:lang w:val="en-AU"/>
              </w:rPr>
            </w:pPr>
            <w:r>
              <w:rPr>
                <w:lang w:val="en-AU"/>
              </w:rPr>
              <w:t>General Instructions:</w:t>
            </w:r>
          </w:p>
          <w:p>
            <w:pPr>
              <w:pStyle w:val="TableText"/>
              <w:widowControl w:val="false"/>
              <w:jc w:val="left"/>
              <w:rPr>
                <w:lang w:val="en-AU"/>
              </w:rPr>
            </w:pPr>
            <w:r>
              <w:rPr>
                <w:lang w:val="en-AU"/>
              </w:rPr>
              <w:t>You are employed by MidTown IT as a cyber security analyst. Your job is to identify threats, risks and vulnerabilities in two different organisations and recommend suitable methodologies to protect the organisations’ data. The organisations are:</w:t>
            </w:r>
          </w:p>
          <w:p>
            <w:pPr>
              <w:pStyle w:val="Tablebullet-main1"/>
              <w:widowControl w:val="false"/>
              <w:numPr>
                <w:ilvl w:val="0"/>
                <w:numId w:val="2"/>
              </w:numPr>
              <w:ind w:left="567" w:hanging="567"/>
              <w:jc w:val="left"/>
              <w:rPr>
                <w:lang w:val="en-AU"/>
              </w:rPr>
            </w:pPr>
            <w:r>
              <w:rPr>
                <w:lang w:val="en-AU"/>
              </w:rPr>
              <w:t>WIDGET Accounting</w:t>
            </w:r>
          </w:p>
          <w:p>
            <w:pPr>
              <w:pStyle w:val="Tablebullet-main1"/>
              <w:widowControl w:val="false"/>
              <w:numPr>
                <w:ilvl w:val="0"/>
                <w:numId w:val="2"/>
              </w:numPr>
              <w:ind w:left="567" w:hanging="567"/>
              <w:jc w:val="left"/>
              <w:rPr>
                <w:lang w:val="en-AU"/>
              </w:rPr>
            </w:pPr>
            <w:r>
              <w:rPr>
                <w:lang w:val="en-AU"/>
              </w:rPr>
              <w:t>Local Kindergarten</w:t>
            </w:r>
          </w:p>
          <w:p>
            <w:pPr>
              <w:pStyle w:val="TableText"/>
              <w:widowControl w:val="false"/>
              <w:jc w:val="left"/>
              <w:rPr>
                <w:lang w:val="en-AU"/>
              </w:rPr>
            </w:pPr>
            <w:r>
              <w:rPr>
                <w:lang w:val="en-AU"/>
              </w:rPr>
              <w:t>Your teacher/assessor will take on the role of the project manager assigned to this project by MidTown IT.</w:t>
            </w:r>
          </w:p>
          <w:p>
            <w:pPr>
              <w:pStyle w:val="TableText"/>
              <w:widowControl w:val="false"/>
              <w:jc w:val="left"/>
              <w:rPr>
                <w:lang w:val="en-AU"/>
              </w:rPr>
            </w:pPr>
            <w:r>
              <w:rPr>
                <w:lang w:val="en-AU"/>
              </w:rPr>
              <w:t>Read the project documentation provided and familiarise yourself with the Project Scenario or Case Study before proceeding with portfolio tasks. Confirm anything you are not sure about in the project with your manager (teacher/assessor). It is essential that you have a clear understanding of the scenario and tasks that you need to complete.</w:t>
            </w:r>
          </w:p>
          <w:p>
            <w:pPr>
              <w:pStyle w:val="TableText"/>
              <w:widowControl w:val="false"/>
              <w:jc w:val="left"/>
              <w:rPr>
                <w:lang w:val="en-AU"/>
              </w:rPr>
            </w:pPr>
            <w:r>
              <w:rPr>
                <w:lang w:val="en-AU"/>
              </w:rPr>
              <w:t>This assessment instrument requires the student to complete a project portfolio that is divided into six (6) parts:</w:t>
            </w:r>
          </w:p>
          <w:p>
            <w:pPr>
              <w:pStyle w:val="Tablebullet-main1"/>
              <w:widowControl w:val="false"/>
              <w:numPr>
                <w:ilvl w:val="0"/>
                <w:numId w:val="2"/>
              </w:numPr>
              <w:ind w:left="567" w:hanging="567"/>
              <w:jc w:val="left"/>
              <w:rPr>
                <w:lang w:val="en-AU"/>
              </w:rPr>
            </w:pPr>
            <w:r>
              <w:rPr>
                <w:lang w:val="en-AU"/>
              </w:rPr>
              <w:t>Part 1 – Cyber-security concepts</w:t>
            </w:r>
          </w:p>
          <w:p>
            <w:pPr>
              <w:pStyle w:val="Tablebullet-main1"/>
              <w:widowControl w:val="false"/>
              <w:numPr>
                <w:ilvl w:val="0"/>
                <w:numId w:val="2"/>
              </w:numPr>
              <w:ind w:left="567" w:hanging="567"/>
              <w:jc w:val="left"/>
              <w:rPr>
                <w:lang w:val="en-AU"/>
              </w:rPr>
            </w:pPr>
            <w:r>
              <w:rPr>
                <w:lang w:val="en-AU"/>
              </w:rPr>
              <w:t>Part 2 – Identify cyber-security needs of organisations</w:t>
            </w:r>
          </w:p>
          <w:p>
            <w:pPr>
              <w:pStyle w:val="Tablebullet-sub2"/>
              <w:widowControl w:val="false"/>
              <w:numPr>
                <w:ilvl w:val="0"/>
                <w:numId w:val="3"/>
              </w:numPr>
              <w:ind w:left="1134" w:hanging="567"/>
              <w:jc w:val="left"/>
              <w:rPr>
                <w:lang w:val="en-AU"/>
              </w:rPr>
            </w:pPr>
            <w:r>
              <w:rPr>
                <w:lang w:val="en-AU"/>
              </w:rPr>
              <w:t>Task 1: Identify organisations’ data risks, vulnerabilities and cyber-security needs</w:t>
            </w:r>
          </w:p>
          <w:p>
            <w:pPr>
              <w:pStyle w:val="Tablebullet-sub2"/>
              <w:widowControl w:val="false"/>
              <w:numPr>
                <w:ilvl w:val="0"/>
                <w:numId w:val="3"/>
              </w:numPr>
              <w:ind w:left="1134" w:hanging="567"/>
              <w:jc w:val="left"/>
              <w:rPr>
                <w:lang w:val="en-AU"/>
              </w:rPr>
            </w:pPr>
            <w:r>
              <w:rPr>
                <w:lang w:val="en-AU"/>
              </w:rPr>
              <w:t>Task 2 Identify cyber-security measures for the organisation</w:t>
            </w:r>
          </w:p>
          <w:p>
            <w:pPr>
              <w:pStyle w:val="Tablebullet-main1"/>
              <w:widowControl w:val="false"/>
              <w:numPr>
                <w:ilvl w:val="0"/>
                <w:numId w:val="2"/>
              </w:numPr>
              <w:ind w:left="567" w:hanging="567"/>
              <w:jc w:val="left"/>
              <w:rPr>
                <w:lang w:val="en-AU"/>
              </w:rPr>
            </w:pPr>
            <w:r>
              <w:rPr>
                <w:lang w:val="en-AU"/>
              </w:rPr>
              <w:t>Part 3 – Methods and tools to safeguard privacy</w:t>
            </w:r>
          </w:p>
          <w:p>
            <w:pPr>
              <w:pStyle w:val="Tablebullet-sub2"/>
              <w:widowControl w:val="false"/>
              <w:numPr>
                <w:ilvl w:val="0"/>
                <w:numId w:val="3"/>
              </w:numPr>
              <w:ind w:left="1134" w:hanging="567"/>
              <w:jc w:val="left"/>
              <w:rPr>
                <w:lang w:val="en-AU"/>
              </w:rPr>
            </w:pPr>
            <w:r>
              <w:rPr>
                <w:lang w:val="en-AU"/>
              </w:rPr>
              <w:t>Task 1: Methods and tools selection</w:t>
            </w:r>
          </w:p>
          <w:p>
            <w:pPr>
              <w:pStyle w:val="Tablebullet-sub2"/>
              <w:widowControl w:val="false"/>
              <w:numPr>
                <w:ilvl w:val="0"/>
                <w:numId w:val="3"/>
              </w:numPr>
              <w:ind w:left="1134" w:hanging="567"/>
              <w:jc w:val="left"/>
              <w:rPr>
                <w:lang w:val="en-AU"/>
              </w:rPr>
            </w:pPr>
            <w:r>
              <w:rPr>
                <w:lang w:val="en-AU"/>
              </w:rPr>
              <w:t>Task 2: Protecting personal data of an internet service user</w:t>
            </w:r>
          </w:p>
          <w:p>
            <w:pPr>
              <w:pStyle w:val="Tablebullet-sub2"/>
              <w:widowControl w:val="false"/>
              <w:numPr>
                <w:ilvl w:val="0"/>
                <w:numId w:val="3"/>
              </w:numPr>
              <w:ind w:left="1134" w:hanging="567"/>
              <w:jc w:val="left"/>
              <w:rPr>
                <w:lang w:val="en-AU"/>
              </w:rPr>
            </w:pPr>
            <w:r>
              <w:rPr>
                <w:lang w:val="en-AU"/>
              </w:rPr>
              <w:t>Task 3: Demonstration – Cyber Kill Chain process and Malware</w:t>
            </w:r>
          </w:p>
          <w:p>
            <w:pPr>
              <w:pStyle w:val="Tablebullet-main1"/>
              <w:widowControl w:val="false"/>
              <w:numPr>
                <w:ilvl w:val="0"/>
                <w:numId w:val="2"/>
              </w:numPr>
              <w:ind w:left="567" w:hanging="567"/>
              <w:jc w:val="left"/>
              <w:rPr>
                <w:lang w:val="en-AU"/>
              </w:rPr>
            </w:pPr>
            <w:r>
              <w:rPr>
                <w:lang w:val="en-AU"/>
              </w:rPr>
              <w:t>Part 4 – Internet of Things (IoT) devices</w:t>
            </w:r>
          </w:p>
          <w:p>
            <w:pPr>
              <w:pStyle w:val="Tablebullet-main1"/>
              <w:widowControl w:val="false"/>
              <w:numPr>
                <w:ilvl w:val="0"/>
                <w:numId w:val="2"/>
              </w:numPr>
              <w:ind w:left="567" w:hanging="567"/>
              <w:jc w:val="left"/>
              <w:rPr>
                <w:lang w:val="en-AU"/>
              </w:rPr>
            </w:pPr>
            <w:r>
              <w:rPr>
                <w:lang w:val="en-AU"/>
              </w:rPr>
              <w:t>Part 5 – Current cyber-security frameworks</w:t>
            </w:r>
          </w:p>
          <w:p>
            <w:pPr>
              <w:pStyle w:val="Tablebullet-main1"/>
              <w:widowControl w:val="false"/>
              <w:numPr>
                <w:ilvl w:val="0"/>
                <w:numId w:val="2"/>
              </w:numPr>
              <w:ind w:left="567" w:hanging="567"/>
              <w:jc w:val="left"/>
              <w:rPr>
                <w:lang w:val="en-AU"/>
              </w:rPr>
            </w:pPr>
            <w:r>
              <w:rPr>
                <w:lang w:val="en-AU"/>
              </w:rPr>
              <w:t xml:space="preserve">Part 6 – Contingency task </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Students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Assessment Criteria:</w:t>
            </w:r>
          </w:p>
          <w:p>
            <w:pPr>
              <w:pStyle w:val="TableText"/>
              <w:widowControl w:val="false"/>
              <w:jc w:val="left"/>
              <w:rPr>
                <w:lang w:val="en-AU"/>
              </w:rPr>
            </w:pPr>
            <w:r>
              <w:rPr>
                <w:lang w:val="en-AU"/>
              </w:rPr>
              <w:t>To achieve a satisfactory result, your assessor will be looking for your ability to demonstrate the following key skills/tasks/knowledge to an acceptable industry standard. Demonstrated ability to:</w:t>
            </w:r>
          </w:p>
          <w:p>
            <w:pPr>
              <w:pStyle w:val="Tablebullet-main1"/>
              <w:widowControl w:val="false"/>
              <w:numPr>
                <w:ilvl w:val="0"/>
                <w:numId w:val="2"/>
              </w:numPr>
              <w:ind w:left="567" w:hanging="567"/>
              <w:jc w:val="left"/>
              <w:rPr>
                <w:lang w:val="en-AU"/>
              </w:rPr>
            </w:pPr>
            <w:r>
              <w:rPr>
                <w:lang w:val="en-AU"/>
              </w:rPr>
              <w:t>Understand cyber-security concepts and terminology</w:t>
            </w:r>
          </w:p>
          <w:p>
            <w:pPr>
              <w:pStyle w:val="Tablebullet-main1"/>
              <w:widowControl w:val="false"/>
              <w:numPr>
                <w:ilvl w:val="0"/>
                <w:numId w:val="2"/>
              </w:numPr>
              <w:ind w:left="567" w:hanging="567"/>
              <w:jc w:val="left"/>
              <w:rPr>
                <w:lang w:val="en-AU"/>
              </w:rPr>
            </w:pPr>
            <w:r>
              <w:rPr>
                <w:lang w:val="en-AU"/>
              </w:rPr>
              <w:t>Identify threats, risks and vulnerabilities</w:t>
            </w:r>
          </w:p>
          <w:p>
            <w:pPr>
              <w:pStyle w:val="Tablebullet-main1"/>
              <w:widowControl w:val="false"/>
              <w:numPr>
                <w:ilvl w:val="0"/>
                <w:numId w:val="2"/>
              </w:numPr>
              <w:ind w:left="567" w:hanging="567"/>
              <w:jc w:val="left"/>
              <w:rPr>
                <w:lang w:val="en-AU"/>
              </w:rPr>
            </w:pPr>
            <w:r>
              <w:rPr>
                <w:lang w:val="en-AU"/>
              </w:rPr>
              <w:t>Identify current cyber-security threat trends</w:t>
            </w:r>
          </w:p>
          <w:p>
            <w:pPr>
              <w:pStyle w:val="Tablebullet-main1"/>
              <w:widowControl w:val="false"/>
              <w:numPr>
                <w:ilvl w:val="0"/>
                <w:numId w:val="2"/>
              </w:numPr>
              <w:ind w:left="567" w:hanging="567"/>
              <w:jc w:val="left"/>
              <w:rPr>
                <w:lang w:val="en-AU"/>
              </w:rPr>
            </w:pPr>
            <w:r>
              <w:rPr>
                <w:lang w:val="en-AU"/>
              </w:rPr>
              <w:t>Identify the need for cyber-security systems in organisations</w:t>
            </w:r>
          </w:p>
          <w:p>
            <w:pPr>
              <w:pStyle w:val="Tablebullet-main1"/>
              <w:widowControl w:val="false"/>
              <w:numPr>
                <w:ilvl w:val="0"/>
                <w:numId w:val="2"/>
              </w:numPr>
              <w:ind w:left="567" w:hanging="567"/>
              <w:jc w:val="left"/>
              <w:rPr>
                <w:lang w:val="en-AU"/>
              </w:rPr>
            </w:pPr>
            <w:r>
              <w:rPr>
                <w:lang w:val="en-AU"/>
              </w:rPr>
              <w:t>Determine cyber-security practice needs in organisations</w:t>
            </w:r>
          </w:p>
          <w:p>
            <w:pPr>
              <w:pStyle w:val="Tablebullet-main1"/>
              <w:widowControl w:val="false"/>
              <w:numPr>
                <w:ilvl w:val="0"/>
                <w:numId w:val="2"/>
              </w:numPr>
              <w:ind w:left="567" w:hanging="567"/>
              <w:jc w:val="left"/>
              <w:rPr>
                <w:lang w:val="en-AU"/>
              </w:rPr>
            </w:pPr>
            <w:r>
              <w:rPr>
                <w:lang w:val="en-AU"/>
              </w:rPr>
              <w:t>Determine cyber-security attacks and techniques</w:t>
            </w:r>
          </w:p>
          <w:p>
            <w:pPr>
              <w:pStyle w:val="Tablebullet-main1"/>
              <w:widowControl w:val="false"/>
              <w:numPr>
                <w:ilvl w:val="0"/>
                <w:numId w:val="2"/>
              </w:numPr>
              <w:ind w:left="567" w:hanging="567"/>
              <w:jc w:val="left"/>
              <w:rPr>
                <w:lang w:val="en-AU"/>
              </w:rPr>
            </w:pPr>
            <w:r>
              <w:rPr>
                <w:lang w:val="en-AU"/>
              </w:rPr>
              <w:t>Understand and differentiate between threat actors, threat vectors and threat goals</w:t>
            </w:r>
          </w:p>
          <w:p>
            <w:pPr>
              <w:pStyle w:val="Tablebullet-main1"/>
              <w:widowControl w:val="false"/>
              <w:numPr>
                <w:ilvl w:val="0"/>
                <w:numId w:val="2"/>
              </w:numPr>
              <w:ind w:left="567" w:hanging="567"/>
              <w:jc w:val="left"/>
              <w:rPr>
                <w:lang w:val="en-AU"/>
              </w:rPr>
            </w:pPr>
            <w:r>
              <w:rPr>
                <w:lang w:val="en-AU"/>
              </w:rPr>
              <w:t>Recommend suitable cyber-security methodologies for organisations including infrastructure, equipment and software</w:t>
            </w:r>
          </w:p>
          <w:p>
            <w:pPr>
              <w:pStyle w:val="Tablebullet-main1"/>
              <w:widowControl w:val="false"/>
              <w:numPr>
                <w:ilvl w:val="0"/>
                <w:numId w:val="2"/>
              </w:numPr>
              <w:ind w:left="567" w:hanging="567"/>
              <w:jc w:val="left"/>
              <w:rPr>
                <w:lang w:val="en-AU"/>
              </w:rPr>
            </w:pPr>
            <w:r>
              <w:rPr>
                <w:lang w:val="en-AU"/>
              </w:rPr>
              <w:t>Work with policies, procedures and tools for protecting organisational data</w:t>
            </w:r>
          </w:p>
          <w:p>
            <w:pPr>
              <w:pStyle w:val="Tablebullet-main1"/>
              <w:widowControl w:val="false"/>
              <w:numPr>
                <w:ilvl w:val="0"/>
                <w:numId w:val="2"/>
              </w:numPr>
              <w:ind w:left="567" w:hanging="567"/>
              <w:jc w:val="left"/>
              <w:rPr>
                <w:lang w:val="en-AU"/>
              </w:rPr>
            </w:pPr>
            <w:r>
              <w:rPr>
                <w:lang w:val="en-AU"/>
              </w:rPr>
              <w:t>Identify the vulnerabilities of IoT devices</w:t>
            </w:r>
          </w:p>
          <w:p>
            <w:pPr>
              <w:pStyle w:val="Tablebullet-main1"/>
              <w:widowControl w:val="false"/>
              <w:numPr>
                <w:ilvl w:val="0"/>
                <w:numId w:val="2"/>
              </w:numPr>
              <w:ind w:left="567" w:hanging="567"/>
              <w:jc w:val="left"/>
              <w:rPr>
                <w:lang w:val="en-AU"/>
              </w:rPr>
            </w:pPr>
            <w:r>
              <w:rPr>
                <w:lang w:val="en-AU"/>
              </w:rPr>
              <w:t>Investigate and use mitigation strategies such as Cyber Kill Chain Process and MITRE ATT&amp;CK</w:t>
            </w:r>
          </w:p>
          <w:p>
            <w:pPr>
              <w:pStyle w:val="Tablebullet-main1"/>
              <w:widowControl w:val="false"/>
              <w:numPr>
                <w:ilvl w:val="0"/>
                <w:numId w:val="2"/>
              </w:numPr>
              <w:ind w:left="567" w:hanging="567"/>
              <w:jc w:val="left"/>
              <w:rPr>
                <w:lang w:val="en-AU"/>
              </w:rPr>
            </w:pPr>
            <w:r>
              <w:rPr>
                <w:lang w:val="en-AU"/>
              </w:rPr>
              <w:t>Determine behaviour-based cyber-security strategies</w:t>
            </w:r>
          </w:p>
          <w:p>
            <w:pPr>
              <w:pStyle w:val="Tablebullet-main1"/>
              <w:widowControl w:val="false"/>
              <w:numPr>
                <w:ilvl w:val="0"/>
                <w:numId w:val="2"/>
              </w:numPr>
              <w:ind w:left="567" w:hanging="567"/>
              <w:jc w:val="left"/>
              <w:rPr>
                <w:lang w:val="en-AU"/>
              </w:rPr>
            </w:pPr>
            <w:r>
              <w:rPr>
                <w:lang w:val="en-AU"/>
              </w:rPr>
              <w:t>Investigate and explain current cyber-security frameworks such as NTIs CSF, ACSC and CIS</w:t>
            </w:r>
          </w:p>
          <w:p>
            <w:pPr>
              <w:pStyle w:val="TableText"/>
              <w:widowControl w:val="false"/>
              <w:jc w:val="left"/>
              <w:rPr>
                <w:lang w:val="en-AU"/>
              </w:rPr>
            </w:pPr>
            <w:r>
              <w:rPr>
                <w:lang w:val="en-AU"/>
              </w:rPr>
            </w:r>
          </w:p>
          <w:p>
            <w:pPr>
              <w:pStyle w:val="TableText"/>
              <w:widowControl w:val="false"/>
              <w:jc w:val="left"/>
              <w:rPr>
                <w:lang w:val="en-AU"/>
              </w:rPr>
            </w:pPr>
            <w:r>
              <w:rPr>
                <w:lang w:val="en-AU"/>
              </w:rPr>
              <w:t>Refer to the marking criteria for specific details:</w:t>
            </w:r>
          </w:p>
          <w:p>
            <w:pPr>
              <w:pStyle w:val="TableText"/>
              <w:widowControl w:val="false"/>
              <w:jc w:val="left"/>
              <w:rPr>
                <w:lang w:val="en-AU"/>
              </w:rPr>
            </w:pPr>
            <w:r>
              <w:rPr>
                <w:lang w:val="en-AU"/>
              </w:rPr>
              <w:t>VU23217_AT2_MC_TQM_v1</w:t>
            </w:r>
          </w:p>
          <w:p>
            <w:pPr>
              <w:pStyle w:val="TableText"/>
              <w:widowControl w:val="false"/>
              <w:jc w:val="left"/>
              <w:rPr>
                <w:lang w:val="en-AU"/>
              </w:rPr>
            </w:pPr>
            <w:r>
              <w:rPr>
                <w:lang w:val="en-AU"/>
              </w:rPr>
            </w:r>
          </w:p>
          <w:p>
            <w:pPr>
              <w:pStyle w:val="TableHeading"/>
              <w:widowControl w:val="false"/>
              <w:jc w:val="left"/>
              <w:rPr>
                <w:lang w:val="en-AU"/>
              </w:rPr>
            </w:pPr>
            <w:r>
              <w:rPr>
                <w:lang w:val="en-AU"/>
              </w:rPr>
              <w:t>Details of location:</w:t>
            </w:r>
          </w:p>
          <w:p>
            <w:pPr>
              <w:pStyle w:val="TableText"/>
              <w:widowControl w:val="false"/>
              <w:jc w:val="left"/>
              <w:rPr>
                <w:lang w:val="en-AU"/>
              </w:rPr>
            </w:pPr>
            <w:r>
              <w:rPr>
                <w:lang w:val="en-AU"/>
              </w:rPr>
              <w:t>TAFE will provide a simulated work environment in the classroom. Research activities may be conducted in the classroom or at home.</w:t>
            </w:r>
          </w:p>
          <w:p>
            <w:pPr>
              <w:pStyle w:val="TableText"/>
              <w:widowControl w:val="false"/>
              <w:jc w:val="left"/>
              <w:rPr>
                <w:lang w:val="en-AU"/>
              </w:rPr>
            </w:pPr>
            <w:r>
              <w:rPr>
                <w:lang w:val="en-AU"/>
              </w:rPr>
              <w:t xml:space="preserve">If you are unable to attend a scheduled assessment activity, you must notify your teacher before the assessment is due and supply a doctor's certificate and approval from the team manager for an extension.  </w:t>
            </w:r>
          </w:p>
          <w:p>
            <w:pPr>
              <w:pStyle w:val="TableText"/>
              <w:widowControl w:val="false"/>
              <w:jc w:val="left"/>
              <w:rPr>
                <w:lang w:val="en-AU"/>
              </w:rPr>
            </w:pPr>
            <w:r>
              <w:rPr>
                <w:lang w:val="en-AU"/>
              </w:rPr>
            </w:r>
          </w:p>
          <w:p>
            <w:pPr>
              <w:pStyle w:val="TableHeading"/>
              <w:widowControl w:val="false"/>
              <w:jc w:val="left"/>
              <w:rPr>
                <w:lang w:val="en-AU"/>
              </w:rPr>
            </w:pPr>
            <w:r>
              <w:rPr>
                <w:lang w:val="en-AU"/>
              </w:rPr>
              <w:t>Time restrictions:</w:t>
            </w:r>
          </w:p>
          <w:p>
            <w:pPr>
              <w:pStyle w:val="TableText"/>
              <w:widowControl w:val="false"/>
              <w:jc w:val="left"/>
              <w:rPr>
                <w:lang w:val="en-AU"/>
              </w:rPr>
            </w:pPr>
            <w:r>
              <w:rPr>
                <w:lang w:val="en-AU"/>
              </w:rPr>
              <w:t>This assignment is designed to take place over eight (8) weeks or approximately 32 hours. The student is expected to attend classes as per timetable details and should be able to commit up to three (3) hours per week of their own time to study or study related activities.</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Staff cannot directly show students answers or solutions but can support and guide them to complete tasks individually. Teachers and tutors should be available in class and accessible by email for students working from home.</w:t>
            </w:r>
          </w:p>
          <w:p>
            <w:pPr>
              <w:pStyle w:val="TableText"/>
              <w:widowControl w:val="false"/>
              <w:jc w:val="left"/>
              <w:rPr>
                <w:lang w:val="en-AU"/>
              </w:rPr>
            </w:pPr>
            <w:r>
              <w:rPr>
                <w:lang w:val="en-AU"/>
              </w:rPr>
            </w:r>
          </w:p>
          <w:p>
            <w:pPr>
              <w:pStyle w:val="TableHeading"/>
              <w:widowControl w:val="false"/>
              <w:jc w:val="left"/>
              <w:rPr>
                <w:lang w:val="en-AU"/>
              </w:rPr>
            </w:pPr>
            <w:r>
              <w:rPr>
                <w:lang w:val="en-AU"/>
              </w:rPr>
              <w:t>Reasonable Adjustments:</w:t>
            </w:r>
          </w:p>
          <w:p>
            <w:pPr>
              <w:pStyle w:val="TableText"/>
              <w:widowControl w:val="false"/>
              <w:jc w:val="left"/>
              <w:rPr>
                <w:lang w:val="en-AU"/>
              </w:rPr>
            </w:pPr>
            <w:r>
              <w:rPr>
                <w:lang w:val="en-AU"/>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
              <w:widowControl w:val="false"/>
              <w:jc w:val="left"/>
              <w:rPr>
                <w:lang w:val="en-AU"/>
              </w:rPr>
            </w:pPr>
            <w:r>
              <w:rPr>
                <w:lang w:val="en-AU"/>
              </w:rPr>
            </w:r>
          </w:p>
          <w:p>
            <w:pPr>
              <w:pStyle w:val="TableHeading"/>
              <w:widowControl w:val="false"/>
              <w:jc w:val="left"/>
              <w:rPr>
                <w:lang w:val="en-AU"/>
              </w:rPr>
            </w:pPr>
            <w:r>
              <w:rPr>
                <w:lang w:val="en-AU"/>
              </w:rPr>
              <w:t>Number of Attempts:</w:t>
            </w:r>
          </w:p>
          <w:p>
            <w:pPr>
              <w:pStyle w:val="TableText"/>
              <w:widowControl w:val="false"/>
              <w:jc w:val="left"/>
              <w:rPr>
                <w:lang w:val="en-AU"/>
              </w:rPr>
            </w:pPr>
            <w:r>
              <w:rPr>
                <w:lang w:val="en-AU"/>
              </w:rPr>
              <w:t>You will receive up to two (2) attempts at this assessment task. Should your 1</w:t>
            </w:r>
            <w:r>
              <w:rPr>
                <w:vertAlign w:val="superscript"/>
                <w:lang w:val="en-AU"/>
              </w:rPr>
              <w:t>st</w:t>
            </w:r>
            <w:r>
              <w:rPr>
                <w:lang w:val="en-AU"/>
              </w:rPr>
              <w:t xml:space="preserve"> attempt be unsatisfactory (U), your teacher will provide feedback and discuss the relevant sections / questions with you and will arrange a due date for the submission of your 2</w:t>
            </w:r>
            <w:r>
              <w:rPr>
                <w:vertAlign w:val="superscript"/>
                <w:lang w:val="en-AU"/>
              </w:rPr>
              <w:t>nd</w:t>
            </w:r>
            <w:r>
              <w:rPr>
                <w:lang w:val="en-AU"/>
              </w:rPr>
              <w:t xml:space="preserve"> attempt. If your 2</w:t>
            </w:r>
            <w:r>
              <w:rPr>
                <w:vertAlign w:val="superscript"/>
                <w:lang w:val="en-AU"/>
              </w:rPr>
              <w:t>nd</w:t>
            </w:r>
            <w:r>
              <w:rPr>
                <w:lang w:val="en-AU"/>
              </w:rPr>
              <w:t xml:space="preserve"> submission is unsatisfactory (U), or you fail to submit a 2</w:t>
            </w:r>
            <w:r>
              <w:rPr>
                <w:vertAlign w:val="superscript"/>
                <w:lang w:val="en-AU"/>
              </w:rPr>
              <w:t>nd</w:t>
            </w:r>
            <w:r>
              <w:rPr>
                <w:lang w:val="en-AU"/>
              </w:rPr>
              <w:t xml:space="preserve"> attempt, you will receive an overall unsatisfactory result for this assessment task. Only one re-assessment attempt may be granted for each assessment task. </w:t>
            </w:r>
          </w:p>
          <w:p>
            <w:pPr>
              <w:pStyle w:val="TableText"/>
              <w:widowControl w:val="false"/>
              <w:jc w:val="left"/>
              <w:rPr>
                <w:b/>
                <w:bCs/>
                <w:i/>
                <w:i/>
                <w:iCs/>
              </w:rPr>
            </w:pPr>
            <w:r>
              <w:rPr>
                <w:b/>
                <w:bCs/>
                <w:i/>
                <w:iCs/>
                <w:lang w:val="en-AU"/>
              </w:rPr>
              <w:t>For more information, refer to the Student Rules.</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Normal"/>
              <w:widowControl w:val="false"/>
              <w:spacing w:before="80" w:after="80"/>
              <w:jc w:val="left"/>
              <w:rPr>
                <w:rFonts w:cs="Arial"/>
                <w:b/>
                <w:szCs w:val="22"/>
              </w:rPr>
            </w:pPr>
            <w:r>
              <w:rPr>
                <w:rFonts w:cs="Arial"/>
                <w:b/>
                <w:szCs w:val="22"/>
                <w:lang w:val="en-AU"/>
              </w:rPr>
              <w:t>Submission details</w:t>
              <w:br/>
            </w:r>
            <w:r>
              <w:rPr>
                <w:rFonts w:cs="Arial"/>
                <w:szCs w:val="22"/>
                <w:lang w:val="en-AU"/>
              </w:rPr>
              <w:t>(if relevant)</w:t>
            </w:r>
          </w:p>
        </w:tc>
        <w:tc>
          <w:tcPr>
            <w:tcW w:w="7699" w:type="dxa"/>
            <w:tcBorders/>
          </w:tcPr>
          <w:p>
            <w:pPr>
              <w:pStyle w:val="TableHeading"/>
              <w:widowControl w:val="false"/>
              <w:spacing w:before="80" w:after="80"/>
              <w:jc w:val="left"/>
              <w:rPr>
                <w:lang w:val="en-AU"/>
              </w:rPr>
            </w:pPr>
            <w:r>
              <w:rPr>
                <w:lang w:val="en-AU"/>
              </w:rPr>
              <w:t xml:space="preserve">Evidence Required to be Submitted:   </w:t>
            </w:r>
          </w:p>
          <w:p>
            <w:pPr>
              <w:pStyle w:val="TableText"/>
              <w:widowControl w:val="false"/>
              <w:jc w:val="left"/>
              <w:rPr>
                <w:lang w:val="en-AU"/>
              </w:rPr>
            </w:pPr>
            <w:r>
              <w:rPr>
                <w:lang w:val="en-AU"/>
              </w:rPr>
              <w:t xml:space="preserve">Insert your details on the cover page and sign the Student Declaration. Include this template with your submission.  </w:t>
            </w:r>
          </w:p>
          <w:p>
            <w:pPr>
              <w:pStyle w:val="TableText"/>
              <w:widowControl w:val="false"/>
              <w:jc w:val="left"/>
              <w:rPr>
                <w:lang w:val="en-AU"/>
              </w:rPr>
            </w:pPr>
            <w:r>
              <w:rPr>
                <w:lang w:val="en-AU"/>
              </w:rPr>
            </w:r>
          </w:p>
          <w:p>
            <w:pPr>
              <w:pStyle w:val="TableHeading"/>
              <w:widowControl w:val="false"/>
              <w:jc w:val="left"/>
              <w:rPr>
                <w:lang w:val="en-AU"/>
              </w:rPr>
            </w:pPr>
            <w:r>
              <w:rPr>
                <w:lang w:val="en-AU"/>
              </w:rPr>
              <w:t>Submission via Connect:</w:t>
            </w:r>
          </w:p>
          <w:p>
            <w:pPr>
              <w:pStyle w:val="TableText"/>
              <w:widowControl w:val="false"/>
              <w:jc w:val="left"/>
              <w:rPr>
                <w:lang w:val="en-AU"/>
              </w:rPr>
            </w:pPr>
            <w:r>
              <w:rPr>
                <w:lang w:val="en-AU"/>
              </w:rPr>
              <w:t>Upload a single file into Assessment 2 (AT2) Assignment Folder in Connect.</w:t>
            </w:r>
          </w:p>
          <w:p>
            <w:pPr>
              <w:pStyle w:val="TableText"/>
              <w:widowControl w:val="false"/>
              <w:jc w:val="left"/>
              <w:rPr>
                <w:lang w:val="en-AU"/>
              </w:rPr>
            </w:pPr>
            <w:r>
              <w:rPr>
                <w:lang w:val="en-AU"/>
              </w:rPr>
              <w:t>Multiple files can be compressed into a single file.</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Name the file: </w:t>
            </w:r>
          </w:p>
          <w:p>
            <w:pPr>
              <w:pStyle w:val="TableText"/>
              <w:widowControl w:val="false"/>
              <w:jc w:val="left"/>
              <w:rPr>
                <w:lang w:val="en-AU"/>
              </w:rPr>
            </w:pPr>
            <w:r>
              <w:rPr>
                <w:lang w:val="en-AU"/>
              </w:rPr>
              <w:t>VU23217_AT2_Surname_Student Number</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Accessing Connect:</w:t>
            </w:r>
          </w:p>
          <w:p>
            <w:pPr>
              <w:pStyle w:val="Bullet-main"/>
              <w:widowControl w:val="false"/>
              <w:numPr>
                <w:ilvl w:val="0"/>
                <w:numId w:val="2"/>
              </w:numPr>
              <w:ind w:left="567" w:hanging="567"/>
              <w:jc w:val="left"/>
              <w:rPr/>
            </w:pPr>
            <w:r>
              <w:rPr>
                <w:lang w:val="en-AU"/>
              </w:rPr>
              <w:t xml:space="preserve">TAFE Queensland Learning Management System (Connect): </w:t>
            </w:r>
            <w:hyperlink r:id="rId4">
              <w:r>
                <w:rPr>
                  <w:rStyle w:val="InternetLink"/>
                  <w:rFonts w:cs="Arial" w:cstheme="majorHAnsi"/>
                  <w:i/>
                  <w:lang w:val="en-AU"/>
                </w:rPr>
                <w:t>https://connect.tafeqld.edu.au/d2l/login</w:t>
              </w:r>
            </w:hyperlink>
          </w:p>
          <w:p>
            <w:pPr>
              <w:pStyle w:val="Bullet-main"/>
              <w:widowControl w:val="false"/>
              <w:numPr>
                <w:ilvl w:val="0"/>
                <w:numId w:val="2"/>
              </w:numPr>
              <w:ind w:left="567" w:hanging="567"/>
              <w:jc w:val="left"/>
              <w:rPr>
                <w:lang w:val="en-AU"/>
              </w:rPr>
            </w:pPr>
            <w:r>
              <w:rPr>
                <w:b/>
                <w:bCs/>
                <w:lang w:val="en-AU"/>
              </w:rPr>
              <w:t>Username:</w:t>
            </w:r>
            <w:r>
              <w:rPr>
                <w:lang w:val="en-AU"/>
              </w:rPr>
              <w:t xml:space="preserve"> 9 digit student number</w:t>
            </w:r>
          </w:p>
          <w:p>
            <w:pPr>
              <w:pStyle w:val="Bullet-main"/>
              <w:widowControl w:val="false"/>
              <w:numPr>
                <w:ilvl w:val="0"/>
                <w:numId w:val="2"/>
              </w:numPr>
              <w:spacing w:before="120" w:after="120"/>
              <w:ind w:left="567" w:hanging="567"/>
              <w:jc w:val="left"/>
              <w:rPr/>
            </w:pPr>
            <w:r>
              <w:rPr>
                <w:b/>
                <w:bCs/>
                <w:lang w:val="en-AU"/>
              </w:rPr>
              <w:t>For Password:</w:t>
            </w:r>
            <w:r>
              <w:rPr>
                <w:lang w:val="en-AU"/>
              </w:rPr>
              <w:t xml:space="preserve"> </w:t>
            </w:r>
            <w:r>
              <w:rPr>
                <w:rFonts w:asciiTheme="majorHAnsi" w:hAnsiTheme="majorHAnsi"/>
                <w:lang w:val="en-AU"/>
              </w:rPr>
              <w:t>Reset password go to</w:t>
            </w:r>
            <w:r>
              <w:rPr>
                <w:lang w:val="en-AU"/>
              </w:rPr>
              <w:t>:</w:t>
              <w:br/>
            </w:r>
            <w:hyperlink r:id="rId5">
              <w:r>
                <w:rPr>
                  <w:rStyle w:val="InternetLink"/>
                  <w:rFonts w:cs="Arial" w:cstheme="majorHAnsi"/>
                  <w:i/>
                  <w:lang w:val="en-AU"/>
                </w:rPr>
                <w:t>https://passwordreset.tafeqld.edu.au/default.aspx</w:t>
              </w:r>
            </w:hyperlink>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Assessor</w:t>
            </w:r>
          </w:p>
        </w:tc>
        <w:tc>
          <w:tcPr>
            <w:tcW w:w="7699" w:type="dxa"/>
            <w:tcBorders/>
            <w:vAlign w:val="center"/>
          </w:tcPr>
          <w:p>
            <w:pPr>
              <w:pStyle w:val="TableHeading"/>
              <w:widowControl w:val="false"/>
              <w:spacing w:before="80" w:after="80"/>
              <w:jc w:val="left"/>
              <w:rPr>
                <w:lang w:val="en-AU"/>
              </w:rPr>
            </w:pPr>
            <w:r>
              <w:rPr>
                <w:lang w:val="en-AU"/>
              </w:rPr>
              <w:t>Specifications of assessment:</w:t>
            </w:r>
          </w:p>
          <w:p>
            <w:pPr>
              <w:pStyle w:val="TableText"/>
              <w:widowControl w:val="false"/>
              <w:jc w:val="left"/>
              <w:rPr>
                <w:lang w:val="en-AU"/>
              </w:rPr>
            </w:pPr>
            <w:r>
              <w:rPr>
                <w:lang w:val="en-AU"/>
              </w:rPr>
              <w:t>To be judged competent in this assessment item, the student is required to demonstrate competence in all indicators shown in the marking guide.</w:t>
            </w:r>
          </w:p>
          <w:p>
            <w:pPr>
              <w:pStyle w:val="TableText"/>
              <w:widowControl w:val="false"/>
              <w:jc w:val="left"/>
              <w:rPr>
                <w:lang w:val="en-AU"/>
              </w:rPr>
            </w:pPr>
            <w:r>
              <w:rPr>
                <w:lang w:val="en-AU"/>
              </w:rPr>
              <w:t>Gather evidence to demonstrate consistent performance in conditions that are safe and replicate the workplace. Noise levels, production flow, interruptions and time variances must be typical of those experienced in the cyber-security field of work and include access to:</w:t>
            </w:r>
          </w:p>
          <w:p>
            <w:pPr>
              <w:pStyle w:val="Tablebullet-main1"/>
              <w:widowControl w:val="false"/>
              <w:numPr>
                <w:ilvl w:val="0"/>
                <w:numId w:val="2"/>
              </w:numPr>
              <w:ind w:left="567" w:hanging="567"/>
              <w:jc w:val="left"/>
              <w:rPr>
                <w:lang w:val="en-AU"/>
              </w:rPr>
            </w:pPr>
            <w:r>
              <w:rPr>
                <w:lang w:val="en-AU"/>
              </w:rPr>
              <w:t>project requirements.</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Ensure that students read and familiarise themselves with the Project Scenario provided and relevant files and/or resources before attempting the assessment. </w:t>
            </w:r>
          </w:p>
          <w:p>
            <w:pPr>
              <w:pStyle w:val="TableText"/>
              <w:widowControl w:val="false"/>
              <w:jc w:val="left"/>
              <w:rPr>
                <w:lang w:val="en-AU"/>
              </w:rPr>
            </w:pPr>
            <w:r>
              <w:rPr>
                <w:lang w:val="en-AU"/>
              </w:rPr>
            </w:r>
          </w:p>
          <w:p>
            <w:pPr>
              <w:pStyle w:val="TableHeading"/>
              <w:widowControl w:val="false"/>
              <w:jc w:val="left"/>
              <w:rPr>
                <w:lang w:val="en-AU"/>
              </w:rPr>
            </w:pPr>
            <w:r>
              <w:rPr>
                <w:lang w:val="en-AU"/>
              </w:rPr>
              <w:t>Storage Devices:</w:t>
            </w:r>
          </w:p>
          <w:p>
            <w:pPr>
              <w:pStyle w:val="Tablebullet-main1"/>
              <w:widowControl w:val="false"/>
              <w:numPr>
                <w:ilvl w:val="0"/>
                <w:numId w:val="2"/>
              </w:numPr>
              <w:ind w:left="567" w:hanging="567"/>
              <w:jc w:val="left"/>
              <w:rPr>
                <w:lang w:val="en-AU"/>
              </w:rPr>
            </w:pPr>
            <w:r>
              <w:rPr>
                <w:lang w:val="en-AU"/>
              </w:rPr>
              <w:t xml:space="preserve">Students are required to provide their own storage device. </w:t>
            </w:r>
          </w:p>
          <w:p>
            <w:pPr>
              <w:pStyle w:val="TableText"/>
              <w:widowControl w:val="false"/>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TableText"/>
              <w:widowControl w:val="false"/>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TableText"/>
              <w:widowControl w:val="false"/>
              <w:jc w:val="left"/>
              <w:rPr>
                <w:lang w:val="en-AU"/>
              </w:rPr>
            </w:pPr>
            <w:r>
              <w:rPr>
                <w:lang w:val="en-AU"/>
              </w:rPr>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 xml:space="preserve">Teachers and tutors should be available in class and accessible by email for students working from home. Staff cannot directly show students answers but can support and guide them to complete tasks individually. Students with disability will receive reasonable adjustments. </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jc w:val="left"/>
              <w:rPr>
                <w:lang w:val="en-AU"/>
              </w:rPr>
            </w:pPr>
            <w:r>
              <w:rPr>
                <w:lang w:val="en-AU"/>
              </w:rPr>
            </w:r>
          </w:p>
          <w:p>
            <w:pPr>
              <w:pStyle w:val="TableHeading"/>
              <w:widowControl w:val="false"/>
              <w:jc w:val="left"/>
              <w:rPr>
                <w:lang w:val="en-AU"/>
              </w:rPr>
            </w:pPr>
            <w:r>
              <w:rPr>
                <w:lang w:val="en-AU"/>
              </w:rPr>
              <w:t>Contingencies:</w:t>
            </w:r>
          </w:p>
          <w:p>
            <w:pPr>
              <w:pStyle w:val="TableText"/>
              <w:widowControl w:val="false"/>
              <w:jc w:val="left"/>
              <w:rPr>
                <w:lang w:val="en-AU"/>
              </w:rPr>
            </w:pPr>
            <w:r>
              <w:rPr>
                <w:lang w:val="en-AU"/>
              </w:rPr>
              <w:t xml:space="preserve">Reasonable adjustment is available to students for a variety of reasons, including disability, language, literacy and numeracy (LLN) problems or extenuating circumstances. </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Note to Student</w:t>
            </w:r>
          </w:p>
        </w:tc>
        <w:tc>
          <w:tcPr>
            <w:tcW w:w="7699" w:type="dxa"/>
            <w:tcBorders/>
            <w:shd w:color="auto" w:fill="F2F2F2" w:themeFill="background1" w:themeFillShade="f2" w:val="clear"/>
          </w:tcPr>
          <w:p>
            <w:pPr>
              <w:pStyle w:val="Normal"/>
              <w:widowControl w:val="false"/>
              <w:spacing w:before="80" w:after="80"/>
              <w:jc w:val="left"/>
              <w:rPr>
                <w:rFonts w:cs="Arial"/>
                <w:i/>
                <w:i/>
                <w:iCs/>
                <w:szCs w:val="22"/>
              </w:rPr>
            </w:pPr>
            <w:r>
              <w:rPr>
                <w:rFonts w:cs="Arial"/>
                <w:i/>
                <w:iCs/>
                <w:szCs w:val="22"/>
                <w:lang w:val="en-AU"/>
              </w:rPr>
              <w:t>An overview of all Assessment Tasks relevant to this unit is located in the Unit Study Guide.</w:t>
            </w:r>
          </w:p>
          <w:p>
            <w:pPr>
              <w:pStyle w:val="Normal"/>
              <w:widowControl w:val="false"/>
              <w:spacing w:before="80" w:after="80"/>
              <w:jc w:val="left"/>
              <w:rPr>
                <w:rFonts w:cs="Arial"/>
                <w:szCs w:val="22"/>
              </w:rPr>
            </w:pPr>
            <w:r>
              <w:rPr>
                <w:rFonts w:cs="Arial"/>
                <w:szCs w:val="22"/>
                <w:lang w:val="en-AU"/>
              </w:rPr>
              <w:t>If you have any questions or need help regarding this assessment item, please contact your teacher/tutor through email or during face-to-face sessions.</w:t>
            </w:r>
          </w:p>
        </w:tc>
      </w:tr>
    </w:tbl>
    <w:p>
      <w:pPr>
        <w:pStyle w:val="Normal"/>
        <w:rPr/>
      </w:pPr>
      <w:r>
        <w:rPr/>
      </w:r>
    </w:p>
    <w:p>
      <w:pPr>
        <w:pStyle w:val="Normal"/>
        <w:rPr/>
      </w:pPr>
      <w:r>
        <w:rPr/>
      </w:r>
      <w:r>
        <w:br w:type="page"/>
      </w:r>
    </w:p>
    <w:p>
      <w:pPr>
        <w:pStyle w:val="Heading1"/>
        <w:rPr/>
      </w:pPr>
      <w:r>
        <w:rPr/>
        <w:t>Project Scenarios</w:t>
      </w:r>
    </w:p>
    <w:p>
      <w:pPr>
        <w:pStyle w:val="Normal"/>
        <w:rPr/>
      </w:pPr>
      <w:r>
        <w:rPr/>
        <w:t>You are employed by MidTown IT as a cyber security analyst. Your job is to identify threats, risks and vulnerabilities in two different organisations and recommend suitable methodologies to protect the organisations’ data.</w:t>
      </w:r>
    </w:p>
    <w:p>
      <w:pPr>
        <w:pStyle w:val="Normal"/>
        <w:rPr/>
      </w:pPr>
      <w:r>
        <w:rPr/>
        <w:t>Your teacher will take on the role of project manager for the projects.</w:t>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4"/>
        <w:gridCol w:w="8981"/>
      </w:tblGrid>
      <w:tr>
        <w:trPr>
          <w:trHeight w:val="833" w:hRule="atLeast"/>
        </w:trPr>
        <w:tc>
          <w:tcPr>
            <w:tcW w:w="1164"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1"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3" descr="Scenario-01"/>
                          <pic:cNvPicPr>
                            <a:picLocks noChangeAspect="1" noChangeArrowheads="1"/>
                          </pic:cNvPicPr>
                        </pic:nvPicPr>
                        <pic:blipFill>
                          <a:blip r:embed="rId6"/>
                          <a:srcRect l="4914" t="4914" r="5046" b="5179"/>
                          <a:stretch>
                            <a:fillRect/>
                          </a:stretch>
                        </pic:blipFill>
                        <pic:spPr bwMode="auto">
                          <a:xfrm>
                            <a:off x="0" y="0"/>
                            <a:ext cx="396875" cy="396240"/>
                          </a:xfrm>
                          <a:prstGeom prst="rect">
                            <a:avLst/>
                          </a:prstGeom>
                        </pic:spPr>
                      </pic:pic>
                    </a:graphicData>
                  </a:graphic>
                </wp:inline>
              </w:drawing>
            </w:r>
          </w:p>
        </w:tc>
        <w:tc>
          <w:tcPr>
            <w:tcW w:w="8981" w:type="dxa"/>
            <w:tcBorders/>
            <w:shd w:color="auto" w:fill="F2F2F2" w:val="clear"/>
            <w:vAlign w:val="center"/>
          </w:tcPr>
          <w:p>
            <w:pPr>
              <w:pStyle w:val="Calloutheading"/>
              <w:widowControl w:val="false"/>
              <w:spacing w:before="120" w:after="120"/>
              <w:rPr/>
            </w:pPr>
            <w:r>
              <w:rPr/>
              <w:t>Scenario 1: WIDGET Accounting</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t xml:space="preserve">WIDGET Accounting is a small company located in Belconnen in the ACT. They have 15 employees, including an office manager and the business owner. Ten of the employees work onsite at the office, whilst the remaining five work remotely from home or at a client’s premises. </w:t>
            </w:r>
          </w:p>
          <w:p>
            <w:pPr>
              <w:pStyle w:val="Callouttext"/>
              <w:widowControl w:val="false"/>
              <w:ind w:left="142" w:hanging="0"/>
              <w:rPr/>
            </w:pPr>
            <w:r>
              <w:rPr/>
              <w:t>Responsibility for ICT resides with their office manager, who is working their way through a TAFE ICT course in their spare time.</w:t>
            </w:r>
          </w:p>
          <w:p>
            <w:pPr>
              <w:pStyle w:val="Callouttext"/>
              <w:widowControl w:val="false"/>
              <w:ind w:left="142" w:hanging="0"/>
              <w:rPr/>
            </w:pPr>
            <w:r>
              <w:rPr/>
              <w:t>WIDGET’s ICT infrastructure consists of the following:</w:t>
            </w:r>
          </w:p>
          <w:p>
            <w:pPr>
              <w:pStyle w:val="Calloutbullet-main"/>
              <w:widowControl w:val="false"/>
              <w:numPr>
                <w:ilvl w:val="0"/>
                <w:numId w:val="2"/>
              </w:numPr>
              <w:ind w:left="567" w:hanging="425"/>
              <w:rPr/>
            </w:pPr>
            <w:r>
              <w:rPr/>
              <w:t>All the staff use laptops with Windows 10 Pro as the SOE. These are all standard licences, are patched and do NOT have security software installed. Staff are free to choose their own passwords for their individual machines.</w:t>
            </w:r>
          </w:p>
          <w:p>
            <w:pPr>
              <w:pStyle w:val="Calloutbullet-main"/>
              <w:widowControl w:val="false"/>
              <w:numPr>
                <w:ilvl w:val="0"/>
                <w:numId w:val="2"/>
              </w:numPr>
              <w:ind w:left="567" w:hanging="425"/>
              <w:rPr/>
            </w:pPr>
            <w:r>
              <w:rPr/>
              <w:t>The business has recently moved to the Office 365 Business subscription service for Microsoft Office applications.</w:t>
            </w:r>
          </w:p>
          <w:p>
            <w:pPr>
              <w:pStyle w:val="Calloutbullet-main"/>
              <w:widowControl w:val="false"/>
              <w:numPr>
                <w:ilvl w:val="0"/>
                <w:numId w:val="2"/>
              </w:numPr>
              <w:ind w:left="567" w:hanging="425"/>
              <w:rPr/>
            </w:pPr>
            <w:r>
              <w:rPr/>
              <w:t xml:space="preserve">Wireless internet access for office staff is provided via ADSL using a D-Link-2740B wireless router and the Wi-Fi password is publicly available. </w:t>
            </w:r>
          </w:p>
          <w:p>
            <w:pPr>
              <w:pStyle w:val="Calloutbullet-main"/>
              <w:widowControl w:val="false"/>
              <w:numPr>
                <w:ilvl w:val="0"/>
                <w:numId w:val="2"/>
              </w:numPr>
              <w:ind w:left="567" w:hanging="425"/>
              <w:rPr/>
            </w:pPr>
            <w:r>
              <w:rPr/>
              <w:t>Staff are permitted to connect their mobiles, laptops and other electronic devices through this wireless network. They can also form an Internet-of-Things (IoT) structure by connecting these devices at the same time for work purposes.</w:t>
            </w:r>
          </w:p>
          <w:p>
            <w:pPr>
              <w:pStyle w:val="Calloutbullet-main"/>
              <w:widowControl w:val="false"/>
              <w:numPr>
                <w:ilvl w:val="0"/>
                <w:numId w:val="2"/>
              </w:numPr>
              <w:ind w:left="567" w:hanging="425"/>
              <w:rPr/>
            </w:pPr>
            <w:r>
              <w:rPr/>
              <w:t>Wired network and internet access are also provided by a recently installed NETGEAR JGS524 24-Port Gigabit Switch. There are 20 network jacks available, which can be used to connect any physical computing device. A couple of jacks are located in the public area of the office accessible to clients and visitors.</w:t>
            </w:r>
          </w:p>
          <w:p>
            <w:pPr>
              <w:pStyle w:val="Calloutbullet-main"/>
              <w:widowControl w:val="false"/>
              <w:numPr>
                <w:ilvl w:val="0"/>
                <w:numId w:val="2"/>
              </w:numPr>
              <w:ind w:left="567" w:hanging="425"/>
              <w:rPr/>
            </w:pPr>
            <w:r>
              <w:rPr/>
              <w:t>Staff working remotely use either their personal mobile phones as hot spots or their home internet connections to connect to the internet and they do not have any password policy enforced.</w:t>
            </w:r>
          </w:p>
          <w:p>
            <w:pPr>
              <w:pStyle w:val="Calloutbullet-main"/>
              <w:widowControl w:val="false"/>
              <w:numPr>
                <w:ilvl w:val="0"/>
                <w:numId w:val="2"/>
              </w:numPr>
              <w:ind w:left="567" w:hanging="425"/>
              <w:rPr/>
            </w:pPr>
            <w:r>
              <w:rPr/>
              <w:t>Sensitive data is stored on laptops, servers and the NAS without using cryptographic techniques.</w:t>
            </w:r>
          </w:p>
          <w:p>
            <w:pPr>
              <w:pStyle w:val="Calloutbullet-main"/>
              <w:widowControl w:val="false"/>
              <w:numPr>
                <w:ilvl w:val="0"/>
                <w:numId w:val="2"/>
              </w:numPr>
              <w:ind w:left="567" w:hanging="425"/>
              <w:rPr/>
            </w:pPr>
            <w:r>
              <w:rPr/>
              <w:t>Employees share passwords and logins with each other if they are having difficulty logging in or they need to access material on other machines.</w:t>
            </w:r>
          </w:p>
          <w:p>
            <w:pPr>
              <w:pStyle w:val="Calloutbullet-main"/>
              <w:widowControl w:val="false"/>
              <w:numPr>
                <w:ilvl w:val="0"/>
                <w:numId w:val="2"/>
              </w:numPr>
              <w:spacing w:before="120" w:after="120"/>
              <w:ind w:left="567" w:hanging="425"/>
              <w:rPr/>
            </w:pPr>
            <w:r>
              <w:rPr/>
              <w:t>The business does not have a website and instead conducts marketing campaigns through a Facebook page and a Twitter account. The username and password for these services are the same as the business owner’s username and password for his work laptop.</w:t>
            </w:r>
          </w:p>
        </w:tc>
      </w:tr>
    </w:tbl>
    <w:p>
      <w:pPr>
        <w:pStyle w:val="Normal"/>
        <w:rPr/>
      </w:pPr>
      <w:r>
        <w:rPr/>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4"/>
        <w:gridCol w:w="8981"/>
      </w:tblGrid>
      <w:tr>
        <w:trPr>
          <w:trHeight w:val="833" w:hRule="atLeast"/>
        </w:trPr>
        <w:tc>
          <w:tcPr>
            <w:tcW w:w="1164"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2" name="Image2"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cenario-01"/>
                          <pic:cNvPicPr>
                            <a:picLocks noChangeAspect="1" noChangeArrowheads="1"/>
                          </pic:cNvPicPr>
                        </pic:nvPicPr>
                        <pic:blipFill>
                          <a:blip r:embed="rId7"/>
                          <a:srcRect l="4914" t="4914" r="5046" b="5179"/>
                          <a:stretch>
                            <a:fillRect/>
                          </a:stretch>
                        </pic:blipFill>
                        <pic:spPr bwMode="auto">
                          <a:xfrm>
                            <a:off x="0" y="0"/>
                            <a:ext cx="396875" cy="396240"/>
                          </a:xfrm>
                          <a:prstGeom prst="rect">
                            <a:avLst/>
                          </a:prstGeom>
                        </pic:spPr>
                      </pic:pic>
                    </a:graphicData>
                  </a:graphic>
                </wp:inline>
              </w:drawing>
            </w:r>
          </w:p>
        </w:tc>
        <w:tc>
          <w:tcPr>
            <w:tcW w:w="8981" w:type="dxa"/>
            <w:tcBorders/>
            <w:shd w:color="auto" w:fill="F2F2F2" w:val="clear"/>
            <w:vAlign w:val="center"/>
          </w:tcPr>
          <w:p>
            <w:pPr>
              <w:pStyle w:val="Calloutheading"/>
              <w:widowControl w:val="false"/>
              <w:spacing w:before="120" w:after="120"/>
              <w:rPr/>
            </w:pPr>
            <w:r>
              <w:rPr/>
              <w:t>Scenario 2: Local Kindergarten</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b/>
                <w:bCs/>
              </w:rPr>
              <w:t xml:space="preserve">Employees: </w:t>
            </w:r>
            <w:r>
              <w:rPr/>
              <w:t>12</w:t>
            </w:r>
          </w:p>
          <w:p>
            <w:pPr>
              <w:pStyle w:val="Callouttext"/>
              <w:widowControl w:val="false"/>
              <w:ind w:left="142" w:hanging="0"/>
              <w:rPr/>
            </w:pPr>
            <w:r>
              <w:rPr>
                <w:b/>
                <w:bCs/>
              </w:rPr>
              <w:t>Remote work:</w:t>
            </w:r>
            <w:r>
              <w:rPr/>
              <w:t xml:space="preserve"> Some admin employees work from home two to three days a week.</w:t>
            </w:r>
          </w:p>
          <w:p>
            <w:pPr>
              <w:pStyle w:val="Callouttext"/>
              <w:widowControl w:val="false"/>
              <w:ind w:left="142" w:hanging="0"/>
              <w:rPr/>
            </w:pPr>
            <w:r>
              <w:rPr>
                <w:b/>
                <w:bCs/>
              </w:rPr>
              <w:t>Online activities:</w:t>
            </w:r>
            <w:r>
              <w:rPr/>
              <w:t xml:space="preserve"> Enrolments and related activities (e.g. cancellations, attendance changes) </w:t>
            </w:r>
          </w:p>
          <w:p>
            <w:pPr>
              <w:pStyle w:val="Callouttext"/>
              <w:widowControl w:val="false"/>
              <w:ind w:left="142" w:hanging="0"/>
              <w:rPr/>
            </w:pPr>
            <w:r>
              <w:rPr>
                <w:b/>
                <w:bCs/>
              </w:rPr>
              <w:t>Max number of children:</w:t>
            </w:r>
            <w:r>
              <w:rPr/>
              <w:t xml:space="preserve"> 150</w:t>
            </w:r>
          </w:p>
          <w:p>
            <w:pPr>
              <w:pStyle w:val="Callouttext"/>
              <w:widowControl w:val="false"/>
              <w:ind w:left="142" w:hanging="0"/>
              <w:rPr/>
            </w:pPr>
            <w:r>
              <w:rPr>
                <w:b/>
                <w:bCs/>
              </w:rPr>
              <w:t>Children’s ages:</w:t>
            </w:r>
            <w:r>
              <w:rPr/>
              <w:t xml:space="preserve"> 0 to 3-years-old</w:t>
            </w:r>
          </w:p>
          <w:p>
            <w:pPr>
              <w:pStyle w:val="NoSpacing"/>
              <w:widowControl w:val="false"/>
              <w:rPr/>
            </w:pPr>
            <w:r>
              <w:rPr/>
            </w:r>
          </w:p>
          <w:p>
            <w:pPr>
              <w:pStyle w:val="Callouttext"/>
              <w:widowControl w:val="false"/>
              <w:ind w:left="142" w:hanging="0"/>
              <w:rPr/>
            </w:pPr>
            <w:r>
              <w:rPr/>
              <w:t>Organisational data includes:</w:t>
            </w:r>
          </w:p>
          <w:p>
            <w:pPr>
              <w:pStyle w:val="Calloutbullet-main"/>
              <w:widowControl w:val="false"/>
              <w:numPr>
                <w:ilvl w:val="0"/>
                <w:numId w:val="2"/>
              </w:numPr>
              <w:ind w:left="567" w:hanging="425"/>
              <w:rPr/>
            </w:pPr>
            <w:r>
              <w:rPr/>
              <w:t>Staff details</w:t>
            </w:r>
          </w:p>
          <w:p>
            <w:pPr>
              <w:pStyle w:val="Calloutbullet-main"/>
              <w:widowControl w:val="false"/>
              <w:numPr>
                <w:ilvl w:val="0"/>
                <w:numId w:val="2"/>
              </w:numPr>
              <w:ind w:left="567" w:hanging="425"/>
              <w:rPr/>
            </w:pPr>
            <w:r>
              <w:rPr/>
              <w:t>Payroll details</w:t>
            </w:r>
          </w:p>
          <w:p>
            <w:pPr>
              <w:pStyle w:val="Calloutbullet-main"/>
              <w:widowControl w:val="false"/>
              <w:numPr>
                <w:ilvl w:val="0"/>
                <w:numId w:val="2"/>
              </w:numPr>
              <w:ind w:left="567" w:hanging="425"/>
              <w:rPr/>
            </w:pPr>
            <w:r>
              <w:rPr/>
              <w:t>Equipment details</w:t>
            </w:r>
          </w:p>
          <w:p>
            <w:pPr>
              <w:pStyle w:val="Calloutbullet-main"/>
              <w:widowControl w:val="false"/>
              <w:numPr>
                <w:ilvl w:val="0"/>
                <w:numId w:val="2"/>
              </w:numPr>
              <w:ind w:left="567" w:hanging="425"/>
              <w:rPr/>
            </w:pPr>
            <w:r>
              <w:rPr/>
              <w:t>Children’s details – including medical records</w:t>
            </w:r>
          </w:p>
          <w:p>
            <w:pPr>
              <w:pStyle w:val="Calloutbullet-main"/>
              <w:widowControl w:val="false"/>
              <w:numPr>
                <w:ilvl w:val="0"/>
                <w:numId w:val="2"/>
              </w:numPr>
              <w:ind w:left="567" w:hanging="425"/>
              <w:rPr/>
            </w:pPr>
            <w:r>
              <w:rPr/>
              <w:t>Parents’ and guardians’ details</w:t>
            </w:r>
          </w:p>
          <w:p>
            <w:pPr>
              <w:pStyle w:val="NoSpacing"/>
              <w:widowControl w:val="false"/>
              <w:rPr/>
            </w:pPr>
            <w:r>
              <w:rPr/>
            </w:r>
          </w:p>
          <w:p>
            <w:pPr>
              <w:pStyle w:val="Callouttext"/>
              <w:widowControl w:val="false"/>
              <w:ind w:left="142" w:hanging="0"/>
              <w:rPr/>
            </w:pPr>
            <w:r>
              <w:rPr/>
              <w:t>Networked devices:</w:t>
            </w:r>
          </w:p>
          <w:p>
            <w:pPr>
              <w:pStyle w:val="Calloutbullet-main"/>
              <w:widowControl w:val="false"/>
              <w:numPr>
                <w:ilvl w:val="0"/>
                <w:numId w:val="2"/>
              </w:numPr>
              <w:ind w:left="567" w:hanging="425"/>
              <w:rPr/>
            </w:pPr>
            <w:r>
              <w:rPr/>
              <w:t>10 PCs</w:t>
            </w:r>
          </w:p>
          <w:p>
            <w:pPr>
              <w:pStyle w:val="Calloutbullet-main"/>
              <w:widowControl w:val="false"/>
              <w:numPr>
                <w:ilvl w:val="0"/>
                <w:numId w:val="2"/>
              </w:numPr>
              <w:ind w:left="567" w:hanging="425"/>
              <w:rPr/>
            </w:pPr>
            <w:r>
              <w:rPr/>
              <w:t>Peripherals e.g. fax, printers and scanners</w:t>
            </w:r>
          </w:p>
          <w:p>
            <w:pPr>
              <w:pStyle w:val="Calloutbullet-main"/>
              <w:widowControl w:val="false"/>
              <w:numPr>
                <w:ilvl w:val="0"/>
                <w:numId w:val="2"/>
              </w:numPr>
              <w:ind w:left="567" w:hanging="425"/>
              <w:rPr/>
            </w:pPr>
            <w:r>
              <w:rPr/>
              <w:t>12 laptops</w:t>
            </w:r>
          </w:p>
          <w:p>
            <w:pPr>
              <w:pStyle w:val="Calloutbullet-main"/>
              <w:widowControl w:val="false"/>
              <w:numPr>
                <w:ilvl w:val="0"/>
                <w:numId w:val="2"/>
              </w:numPr>
              <w:ind w:left="567" w:hanging="425"/>
              <w:rPr/>
            </w:pPr>
            <w:r>
              <w:rPr/>
              <w:t>12 company mobile phones</w:t>
            </w:r>
          </w:p>
          <w:p>
            <w:pPr>
              <w:pStyle w:val="Calloutbullet-main"/>
              <w:widowControl w:val="false"/>
              <w:numPr>
                <w:ilvl w:val="0"/>
                <w:numId w:val="2"/>
              </w:numPr>
              <w:ind w:left="567" w:hanging="425"/>
              <w:rPr/>
            </w:pPr>
            <w:r>
              <w:rPr/>
              <w:t>15 tablets</w:t>
            </w:r>
          </w:p>
          <w:p>
            <w:pPr>
              <w:pStyle w:val="Calloutbullet-main"/>
              <w:widowControl w:val="false"/>
              <w:numPr>
                <w:ilvl w:val="0"/>
                <w:numId w:val="2"/>
              </w:numPr>
              <w:ind w:left="567" w:hanging="425"/>
              <w:rPr/>
            </w:pPr>
            <w:r>
              <w:rPr/>
              <w:t>Smart TVs</w:t>
            </w:r>
          </w:p>
          <w:p>
            <w:pPr>
              <w:pStyle w:val="Calloutbullet-main"/>
              <w:widowControl w:val="false"/>
              <w:numPr>
                <w:ilvl w:val="0"/>
                <w:numId w:val="2"/>
              </w:numPr>
              <w:ind w:left="567" w:hanging="425"/>
              <w:rPr/>
            </w:pPr>
            <w:r>
              <w:rPr/>
              <w:t>2 robots (internet connected) – can dance and play nursery songs on demand</w:t>
            </w:r>
          </w:p>
          <w:p>
            <w:pPr>
              <w:pStyle w:val="Calloutbullet-main"/>
              <w:widowControl w:val="false"/>
              <w:numPr>
                <w:ilvl w:val="0"/>
                <w:numId w:val="2"/>
              </w:numPr>
              <w:ind w:left="567" w:hanging="425"/>
              <w:rPr/>
            </w:pPr>
            <w:r>
              <w:rPr/>
              <w:t>7 intelligent baby monitors – internet connected</w:t>
            </w:r>
          </w:p>
          <w:p>
            <w:pPr>
              <w:pStyle w:val="Calloutbullet-main"/>
              <w:widowControl w:val="false"/>
              <w:numPr>
                <w:ilvl w:val="0"/>
                <w:numId w:val="2"/>
              </w:numPr>
              <w:spacing w:before="120" w:after="120"/>
              <w:ind w:left="567" w:hanging="425"/>
              <w:rPr/>
            </w:pPr>
            <w:r>
              <w:rPr/>
              <w:t>A number of voice-activated devices</w:t>
            </w:r>
          </w:p>
        </w:tc>
      </w:tr>
    </w:tbl>
    <w:p>
      <w:pPr>
        <w:pStyle w:val="Normal"/>
        <w:rPr/>
      </w:pPr>
      <w:r>
        <w:rPr/>
      </w:r>
    </w:p>
    <w:p>
      <w:pPr>
        <w:pStyle w:val="Normal"/>
        <w:widowControl/>
        <w:suppressAutoHyphens w:val="false"/>
        <w:spacing w:lineRule="auto" w:line="240" w:before="0" w:after="0"/>
        <w:rPr>
          <w:rFonts w:ascii="Arial" w:hAnsi="Arial" w:eastAsia="Times New Roman" w:cs="Arial" w:asciiTheme="minorHAnsi" w:cstheme="minorHAnsi" w:hAnsiTheme="minorHAnsi"/>
          <w:b/>
          <w:kern w:val="0"/>
          <w:szCs w:val="22"/>
          <w:lang w:eastAsia="en-US" w:bidi="ar-SA"/>
        </w:rPr>
      </w:pPr>
      <w:r>
        <w:rPr>
          <w:rFonts w:eastAsia="Times New Roman" w:cs="Arial" w:cstheme="minorHAnsi"/>
          <w:b/>
          <w:kern w:val="0"/>
          <w:szCs w:val="22"/>
          <w:lang w:eastAsia="en-US" w:bidi="ar-SA"/>
        </w:rPr>
      </w:r>
      <w:r>
        <w:br w:type="page"/>
      </w:r>
    </w:p>
    <w:p>
      <w:pPr>
        <w:pStyle w:val="Heading1"/>
        <w:rPr/>
      </w:pPr>
      <w:r>
        <w:rPr/>
        <w:t>Instructions:</w:t>
      </w:r>
    </w:p>
    <w:p>
      <w:pPr>
        <w:pStyle w:val="Normal"/>
        <w:rPr/>
      </w:pPr>
      <w:r>
        <w:rPr/>
        <w:t xml:space="preserve">In order to comply with organisational procedures and standardised documentation, you must use the template provided to complete parts 1 to 6 </w:t>
      </w:r>
      <w:r>
        <w:rPr>
          <w:rFonts w:cs="Arial"/>
        </w:rPr>
        <w:t>–</w:t>
      </w:r>
      <w:r>
        <w:rPr/>
        <w:t xml:space="preserve"> MidTown IT Cyber Security Methodology Recommendation Template.</w:t>
      </w:r>
    </w:p>
    <w:p>
      <w:pPr>
        <w:pStyle w:val="Normal"/>
        <w:rPr>
          <w:rFonts w:cs="Arial"/>
        </w:rPr>
      </w:pPr>
      <w:r>
        <w:rPr>
          <w:rFonts w:cs="Arial"/>
        </w:rPr>
      </w:r>
    </w:p>
    <w:p>
      <w:pPr>
        <w:pStyle w:val="Heading2"/>
        <w:rPr/>
      </w:pPr>
      <w:r>
        <w:rPr/>
        <w:t>PART 1 – Cyber-security concepts</w:t>
      </w:r>
    </w:p>
    <w:p>
      <w:pPr>
        <w:pStyle w:val="Normal"/>
        <w:rPr>
          <w:rFonts w:cs="Arial"/>
        </w:rPr>
      </w:pPr>
      <w:r>
        <w:rPr>
          <w:rFonts w:cs="Arial"/>
        </w:rPr>
        <w:t xml:space="preserve">Before starting your analysis of the two organisations, a revision of the most common cyber-security concepts is required. </w:t>
      </w:r>
    </w:p>
    <w:p>
      <w:pPr>
        <w:pStyle w:val="ListParagraph"/>
        <w:widowControl/>
        <w:numPr>
          <w:ilvl w:val="1"/>
          <w:numId w:val="9"/>
        </w:numPr>
        <w:suppressAutoHyphens w:val="false"/>
        <w:spacing w:before="120" w:after="120"/>
        <w:ind w:left="567" w:hanging="567"/>
        <w:contextualSpacing w:val="false"/>
        <w:rPr>
          <w:rFonts w:cs="Arial"/>
        </w:rPr>
      </w:pPr>
      <w:r>
        <w:rPr>
          <w:rFonts w:cs="Arial"/>
        </w:rPr>
        <w:t>Define the following concepts:</w:t>
      </w:r>
    </w:p>
    <w:p>
      <w:pPr>
        <w:pStyle w:val="ListParagraph"/>
        <w:widowControl/>
        <w:numPr>
          <w:ilvl w:val="0"/>
          <w:numId w:val="7"/>
        </w:numPr>
        <w:suppressAutoHyphens w:val="false"/>
        <w:spacing w:before="120" w:after="120"/>
        <w:ind w:left="1134" w:hanging="567"/>
        <w:contextualSpacing w:val="false"/>
        <w:rPr>
          <w:rFonts w:cs="Arial"/>
        </w:rPr>
      </w:pPr>
      <w:r>
        <w:rPr>
          <w:rFonts w:cs="Arial"/>
        </w:rPr>
        <w:t>A cyber-security threat</w:t>
      </w:r>
    </w:p>
    <w:p>
      <w:pPr>
        <w:pStyle w:val="ListParagraph"/>
        <w:widowControl/>
        <w:numPr>
          <w:ilvl w:val="0"/>
          <w:numId w:val="0"/>
        </w:numPr>
        <w:suppressAutoHyphens w:val="false"/>
        <w:spacing w:before="120" w:after="120"/>
        <w:ind w:left="1134" w:hanging="0"/>
        <w:contextualSpacing w:val="false"/>
        <w:rPr>
          <w:b/>
          <w:bCs/>
        </w:rPr>
      </w:pPr>
      <w:r>
        <w:rPr>
          <w:b/>
          <w:bCs/>
        </w:rPr>
        <w:t>A cyber-security threat is an unwanted threat to a company’s technological resources and can lead to data being stolen, confidential information stolen and a general disruption to the digital side.</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actors</w:t>
      </w:r>
    </w:p>
    <w:p>
      <w:pPr>
        <w:pStyle w:val="ListParagraph"/>
        <w:widowControl/>
        <w:numPr>
          <w:ilvl w:val="0"/>
          <w:numId w:val="0"/>
        </w:numPr>
        <w:suppressAutoHyphens w:val="false"/>
        <w:spacing w:before="120" w:after="120"/>
        <w:ind w:left="1134" w:hanging="0"/>
        <w:contextualSpacing w:val="false"/>
        <w:rPr>
          <w:b/>
          <w:bCs/>
        </w:rPr>
      </w:pPr>
      <w:r>
        <w:rPr>
          <w:b/>
          <w:bCs/>
        </w:rPr>
        <w:t xml:space="preserve">A threat actor is the person or group behind the cyber-security threat with malicious goals in mind. </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vectors</w:t>
      </w:r>
    </w:p>
    <w:p>
      <w:pPr>
        <w:pStyle w:val="ListParagraph"/>
        <w:widowControl/>
        <w:numPr>
          <w:ilvl w:val="0"/>
          <w:numId w:val="0"/>
        </w:numPr>
        <w:suppressAutoHyphens w:val="false"/>
        <w:spacing w:before="120" w:after="120"/>
        <w:ind w:left="1134" w:hanging="0"/>
        <w:contextualSpacing w:val="false"/>
        <w:rPr>
          <w:b/>
          <w:bCs/>
        </w:rPr>
      </w:pPr>
      <w:r>
        <w:rPr>
          <w:b/>
          <w:bCs/>
        </w:rPr>
        <w:t>A threat vector is how the threat actors gain unwanted access to a computer system whether it is through vulnerable software or social engineering.</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goals</w:t>
      </w:r>
    </w:p>
    <w:p>
      <w:pPr>
        <w:pStyle w:val="ListParagraph"/>
        <w:widowControl/>
        <w:numPr>
          <w:ilvl w:val="0"/>
          <w:numId w:val="0"/>
        </w:numPr>
        <w:suppressAutoHyphens w:val="false"/>
        <w:spacing w:before="120" w:after="120"/>
        <w:ind w:left="1134" w:hanging="0"/>
        <w:contextualSpacing w:val="false"/>
        <w:rPr>
          <w:b/>
          <w:bCs/>
        </w:rPr>
      </w:pPr>
      <w:r>
        <w:rPr>
          <w:b/>
          <w:bCs/>
        </w:rPr>
        <w:t>The threat goal is what the attackers end goal is once a system is compromised, whether that be installing malware, stealing data or taking the system completely offline.</w:t>
      </w:r>
    </w:p>
    <w:p>
      <w:pPr>
        <w:pStyle w:val="ListParagraph"/>
        <w:widowControl/>
        <w:numPr>
          <w:ilvl w:val="1"/>
          <w:numId w:val="9"/>
        </w:numPr>
        <w:suppressAutoHyphens w:val="false"/>
        <w:spacing w:before="120" w:after="120"/>
        <w:ind w:left="567" w:hanging="567"/>
        <w:contextualSpacing w:val="false"/>
        <w:rPr>
          <w:rFonts w:cs="Arial"/>
        </w:rPr>
      </w:pPr>
      <w:r>
        <w:rPr>
          <w:rFonts w:cs="Arial"/>
        </w:rPr>
        <w:t>Cyber-security attacks</w:t>
      </w:r>
    </w:p>
    <w:p>
      <w:pPr>
        <w:pStyle w:val="ListParagraph"/>
        <w:widowControl/>
        <w:numPr>
          <w:ilvl w:val="0"/>
          <w:numId w:val="8"/>
        </w:numPr>
        <w:suppressAutoHyphens w:val="false"/>
        <w:spacing w:before="120" w:after="120"/>
        <w:ind w:left="1134" w:hanging="567"/>
        <w:contextualSpacing w:val="false"/>
        <w:rPr>
          <w:rFonts w:cs="Arial"/>
        </w:rPr>
      </w:pPr>
      <w:r>
        <w:rPr>
          <w:rFonts w:cs="Arial"/>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rPr>
      </w:pPr>
      <w:r>
        <w:rPr>
          <w:b/>
          <w:bCs/>
        </w:rPr>
        <w:t>The general characteristics of a cyber-security attack are</w:t>
      </w:r>
    </w:p>
    <w:p>
      <w:pPr>
        <w:pStyle w:val="ListParagraph"/>
        <w:widowControl/>
        <w:numPr>
          <w:ilvl w:val="0"/>
          <w:numId w:val="8"/>
        </w:numPr>
        <w:suppressAutoHyphens w:val="false"/>
        <w:spacing w:before="120" w:after="120"/>
        <w:ind w:left="1134" w:hanging="567"/>
        <w:contextualSpacing w:val="false"/>
        <w:rPr>
          <w:rFonts w:cs="Arial"/>
        </w:rPr>
      </w:pPr>
      <w:r>
        <w:rPr>
          <w:rFonts w:cs="Arial"/>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rFonts w:cs="Arial"/>
        </w:rPr>
      </w:pPr>
      <w:r>
        <w:rPr>
          <w:b/>
          <w:bCs/>
        </w:rPr>
        <w:t>1.</w:t>
      </w:r>
      <w:r>
        <w:rPr/>
        <w:t xml:space="preserve"> </w:t>
      </w:r>
      <w:r>
        <w:rPr>
          <w:b/>
          <w:bCs/>
        </w:rPr>
        <w:t>Nation/state backed groups – These groups are secretly sponsored by their government and usually target enemy states/countries. An example of the Lazarus group who is backed by North Korea</w:t>
      </w:r>
    </w:p>
    <w:p>
      <w:pPr>
        <w:pStyle w:val="ListParagraph"/>
        <w:widowControl/>
        <w:numPr>
          <w:ilvl w:val="0"/>
          <w:numId w:val="0"/>
        </w:numPr>
        <w:suppressAutoHyphens w:val="false"/>
        <w:spacing w:before="120" w:after="120"/>
        <w:ind w:left="1134" w:hanging="0"/>
        <w:contextualSpacing w:val="false"/>
        <w:rPr>
          <w:rFonts w:cs="Arial"/>
        </w:rPr>
      </w:pPr>
      <w:r>
        <w:rPr>
          <w:b/>
          <w:bCs/>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rFonts w:cs="Arial"/>
        </w:rPr>
      </w:pPr>
      <w:r>
        <w:rPr>
          <w:b/>
          <w:bCs/>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rPr>
      </w:pPr>
      <w:r>
        <w:rPr>
          <w:rFonts w:cs="Arial"/>
        </w:rPr>
      </w:r>
    </w:p>
    <w:p>
      <w:pPr>
        <w:pStyle w:val="ListParagraph"/>
        <w:widowControl/>
        <w:numPr>
          <w:ilvl w:val="0"/>
          <w:numId w:val="8"/>
        </w:numPr>
        <w:suppressAutoHyphens w:val="false"/>
        <w:spacing w:before="120" w:after="120"/>
        <w:ind w:left="1134" w:hanging="567"/>
        <w:contextualSpacing w:val="false"/>
        <w:rPr>
          <w:rFonts w:cs="Arial"/>
        </w:rPr>
      </w:pPr>
      <w:r>
        <w:rPr>
          <w:rFonts w:cs="Arial"/>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rPr>
      </w:pPr>
      <w:r>
        <w:rPr>
          <w:b/>
          <w:bCs/>
        </w:rPr>
        <w:t>An attack starts with reconnaissance to find out as much information about the target as possible. The next step in an attack the exploitation where the vulnerable system is attacked and the attackers gain unauthorised access. From there the attackers can either attempt privilege escalation or begin the malicious tasks.</w:t>
      </w:r>
    </w:p>
    <w:p>
      <w:pPr>
        <w:pStyle w:val="ListParagraph"/>
        <w:widowControl/>
        <w:numPr>
          <w:ilvl w:val="0"/>
          <w:numId w:val="0"/>
        </w:numPr>
        <w:suppressAutoHyphens w:val="false"/>
        <w:spacing w:before="120" w:after="120"/>
        <w:ind w:left="1134" w:hanging="0"/>
        <w:contextualSpacing w:val="false"/>
        <w:rPr>
          <w:b/>
          <w:bCs/>
        </w:rPr>
      </w:pPr>
      <w:r>
        <w:rPr>
          <w:b/>
          <w:bCs/>
        </w:rPr>
        <w:t>The following diagram shows an attacker using SQL injection:</w:t>
      </w:r>
    </w:p>
    <w:p>
      <w:pPr>
        <w:pStyle w:val="ListParagraph"/>
        <w:widowControl/>
        <w:numPr>
          <w:ilvl w:val="0"/>
          <w:numId w:val="0"/>
        </w:numPr>
        <w:suppressAutoHyphens w:val="false"/>
        <w:spacing w:before="120" w:after="120"/>
        <w:ind w:left="1134" w:hanging="0"/>
        <w:contextualSpacing w:val="false"/>
        <w:rPr/>
      </w:pPr>
      <w:r>
        <w:drawing>
          <wp:anchor behindDoc="0" distT="0" distB="0" distL="0" distR="0" simplePos="0" locked="0" layoutInCell="0" allowOverlap="1" relativeHeight="6">
            <wp:simplePos x="0" y="0"/>
            <wp:positionH relativeFrom="column">
              <wp:posOffset>837565</wp:posOffset>
            </wp:positionH>
            <wp:positionV relativeFrom="paragraph">
              <wp:posOffset>-95250</wp:posOffset>
            </wp:positionV>
            <wp:extent cx="3832860" cy="2553335"/>
            <wp:effectExtent l="0" t="0" r="0" b="0"/>
            <wp:wrapSquare wrapText="lef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3832860" cy="2553335"/>
                    </a:xfrm>
                    <a:prstGeom prst="rect">
                      <a:avLst/>
                    </a:prstGeom>
                  </pic:spPr>
                </pic:pic>
              </a:graphicData>
            </a:graphic>
          </wp:anchor>
        </w:drawing>
      </w:r>
      <w:r>
        <w:rPr>
          <w:b/>
          <w:bCs/>
        </w:rPr>
        <w:t>(Image: Agathoklis Prodromou, 2019)</w:t>
      </w:r>
    </w:p>
    <w:p>
      <w:pPr>
        <w:pStyle w:val="ListParagraph"/>
        <w:widowControl/>
        <w:numPr>
          <w:ilvl w:val="1"/>
          <w:numId w:val="9"/>
        </w:numPr>
        <w:suppressAutoHyphens w:val="false"/>
        <w:spacing w:before="120" w:after="120"/>
        <w:ind w:left="567" w:hanging="567"/>
        <w:contextualSpacing w:val="false"/>
        <w:rPr>
          <w:rFonts w:cs="Arial"/>
        </w:rPr>
      </w:pPr>
      <w:r>
        <w:rPr>
          <w:rFonts w:cs="Arial"/>
        </w:rPr>
        <w:t>Investigate and explain at least three (3) common and emerging cyber-security attacks, and techniques used by threat actors to infiltrate an organisation. Provide references for your sources using a formal referencing style, e.g. APA or Harvard.</w:t>
      </w:r>
    </w:p>
    <w:p>
      <w:pPr>
        <w:pStyle w:val="ListParagraph"/>
        <w:widowControl/>
        <w:numPr>
          <w:ilvl w:val="0"/>
          <w:numId w:val="0"/>
        </w:numPr>
        <w:suppressAutoHyphens w:val="false"/>
        <w:spacing w:before="120" w:after="120"/>
        <w:ind w:left="567" w:hanging="0"/>
        <w:contextualSpacing w:val="false"/>
        <w:rPr>
          <w:rFonts w:cs="Arial"/>
        </w:rPr>
      </w:pPr>
      <w:r>
        <w:rPr>
          <w:b/>
          <w:bCs/>
        </w:rPr>
        <w:t>1. Phishing:</w:t>
      </w:r>
    </w:p>
    <w:p>
      <w:pPr>
        <w:pStyle w:val="ListParagraph"/>
        <w:widowControl/>
        <w:numPr>
          <w:ilvl w:val="0"/>
          <w:numId w:val="0"/>
        </w:numPr>
        <w:suppressAutoHyphens w:val="false"/>
        <w:spacing w:before="120" w:after="120"/>
        <w:ind w:left="567" w:hanging="0"/>
        <w:contextualSpacing w:val="false"/>
        <w:rPr>
          <w:rFonts w:cs="Arial"/>
        </w:rPr>
      </w:pPr>
      <w:r>
        <w:rPr>
          <w:b/>
          <w:bCs/>
        </w:rPr>
        <w:t>Phishing is the most common attack used by threat actors to gain access to a system. Phishing involves sending a fake email that appears to come from a known source and tricks the user into downloading/installing malware or revealing personal information</w:t>
      </w:r>
      <w:r>
        <w:rPr>
          <w:b/>
          <w:bCs/>
        </w:rPr>
        <w:t xml:space="preserve">. </w:t>
      </w:r>
      <w:r>
        <w:rPr>
          <w:b/>
          <w:bCs/>
        </w:rPr>
        <w:t>A common technique for threat actors is spear-phishing where the fake message includes information about the target which can help make them believe the message is legitimate (CheckPoint, 2020).</w:t>
      </w:r>
    </w:p>
    <w:p>
      <w:pPr>
        <w:pStyle w:val="ListParagraph"/>
        <w:widowControl/>
        <w:numPr>
          <w:ilvl w:val="0"/>
          <w:numId w:val="0"/>
        </w:numPr>
        <w:suppressAutoHyphens w:val="false"/>
        <w:spacing w:before="120" w:after="120"/>
        <w:ind w:left="567" w:hanging="0"/>
        <w:contextualSpacing w:val="false"/>
        <w:rPr>
          <w:rFonts w:cs="Arial"/>
        </w:rPr>
      </w:pPr>
      <w:r>
        <w:rPr>
          <w:b/>
          <w:bCs/>
        </w:rPr>
        <w:t>2. Ransomware:</w:t>
      </w:r>
    </w:p>
    <w:p>
      <w:pPr>
        <w:pStyle w:val="ListParagraph"/>
        <w:widowControl/>
        <w:numPr>
          <w:ilvl w:val="0"/>
          <w:numId w:val="0"/>
        </w:numPr>
        <w:suppressAutoHyphens w:val="false"/>
        <w:spacing w:before="120" w:after="120"/>
        <w:ind w:left="567" w:hanging="0"/>
        <w:contextualSpacing w:val="false"/>
        <w:rPr>
          <w:rFonts w:cs="Arial"/>
        </w:rPr>
      </w:pPr>
      <w:r>
        <w:rPr>
          <w:b/>
          <w:bCs/>
        </w:rPr>
        <w:t>Ransomware is another common attack used. It is a piece of malware that encrypts everything on the victims computer and can only be decrypted using the key that the threat actors have. To get the key, the victim must pay a certain amount usually in cryptocurrency so it can’t be traced. A common technique is to combine the ransomware with a phishing attempt to get the target to download and run the software (Australian Cyber Security Centre, 2021).</w:t>
      </w:r>
    </w:p>
    <w:p>
      <w:pPr>
        <w:pStyle w:val="ListParagraph"/>
        <w:widowControl/>
        <w:numPr>
          <w:ilvl w:val="0"/>
          <w:numId w:val="0"/>
        </w:numPr>
        <w:suppressAutoHyphens w:val="false"/>
        <w:spacing w:before="120" w:after="120"/>
        <w:ind w:left="567" w:hanging="0"/>
        <w:contextualSpacing w:val="false"/>
        <w:rPr>
          <w:rFonts w:cs="Arial"/>
        </w:rPr>
      </w:pPr>
      <w:r>
        <w:rPr>
          <w:b/>
          <w:bCs/>
        </w:rPr>
        <w:t>3. Supply chain attacks</w:t>
      </w:r>
    </w:p>
    <w:p>
      <w:pPr>
        <w:pStyle w:val="ListParagraph"/>
        <w:widowControl/>
        <w:numPr>
          <w:ilvl w:val="0"/>
          <w:numId w:val="0"/>
        </w:numPr>
        <w:suppressAutoHyphens w:val="false"/>
        <w:spacing w:before="120" w:after="120"/>
        <w:ind w:left="567" w:hanging="0"/>
        <w:contextualSpacing w:val="false"/>
        <w:rPr>
          <w:rFonts w:cs="Arial"/>
        </w:rPr>
      </w:pPr>
      <w:r>
        <w:rPr>
          <w:b/>
          <w:bCs/>
        </w:rPr>
        <w:t>Supply chain attacks are becoming a more common threat in the current day where threat actors will attack their targets suppliers/partners to gain access to their systems and then eventually reach their true target. Techniques used are malware insertion where malware is inserted into a legitimate update package and then run by the target, installing the malware</w:t>
      </w:r>
      <w:r>
        <w:rPr>
          <w:b/>
          <w:bCs/>
        </w:rPr>
        <w:t xml:space="preserve"> Korolov, 2020)</w:t>
      </w:r>
      <w:r>
        <w:rPr>
          <w:b/>
          <w:bCs/>
        </w:rPr>
        <w:t>.</w:t>
      </w:r>
    </w:p>
    <w:p>
      <w:pPr>
        <w:pStyle w:val="ListParagraph"/>
        <w:widowControl/>
        <w:numPr>
          <w:ilvl w:val="1"/>
          <w:numId w:val="9"/>
        </w:numPr>
        <w:suppressAutoHyphens w:val="false"/>
        <w:spacing w:before="120" w:after="120"/>
        <w:ind w:left="567" w:hanging="567"/>
        <w:contextualSpacing w:val="false"/>
        <w:rPr>
          <w:rFonts w:cs="Arial"/>
        </w:rPr>
      </w:pPr>
      <w:r>
        <w:rPr>
          <w:rFonts w:cs="Arial"/>
        </w:rPr>
        <w:t xml:space="preserve">Investigate and outline at least three current cyber-threat trends and outline their potential effect on an organisation’s data. </w:t>
      </w:r>
    </w:p>
    <w:p>
      <w:pPr>
        <w:pStyle w:val="ListParagraph"/>
        <w:widowControl/>
        <w:numPr>
          <w:ilvl w:val="0"/>
          <w:numId w:val="0"/>
        </w:numPr>
        <w:suppressAutoHyphens w:val="false"/>
        <w:spacing w:before="120" w:after="120"/>
        <w:ind w:left="567" w:hanging="0"/>
        <w:contextualSpacing w:val="false"/>
        <w:rPr>
          <w:b/>
          <w:bCs/>
        </w:rPr>
      </w:pPr>
      <w:r>
        <w:rPr>
          <w:b/>
          <w:bCs/>
        </w:rPr>
        <w:t xml:space="preserve">1. A current cyber threat to an organisations data is the work from home people. Usually these staff will use their own devices which most likely won’t have the same security as the devices that are in the office. This means they are more likely to be successfully attacked and an organisations private data can be stolen through the remote user. </w:t>
      </w:r>
    </w:p>
    <w:p>
      <w:pPr>
        <w:pStyle w:val="ListParagraph"/>
        <w:widowControl/>
        <w:numPr>
          <w:ilvl w:val="0"/>
          <w:numId w:val="0"/>
        </w:numPr>
        <w:suppressAutoHyphens w:val="false"/>
        <w:spacing w:before="120" w:after="120"/>
        <w:ind w:left="567" w:hanging="0"/>
        <w:contextualSpacing w:val="false"/>
        <w:rPr>
          <w:b/>
          <w:bCs/>
        </w:rPr>
      </w:pPr>
      <w:r>
        <w:rPr>
          <w:b/>
          <w:bCs/>
        </w:rPr>
        <w:t xml:space="preserve">2. Internet of things is another threat that hackers can take advantage of as most IOT devices are not thought of when securing devices. Since most IOT devices are connected to the internet, threat actors can gain access to them then pivot further into the organisations network and steal sensitive data. </w:t>
      </w:r>
    </w:p>
    <w:p>
      <w:pPr>
        <w:pStyle w:val="ListParagraph"/>
        <w:widowControl/>
        <w:numPr>
          <w:ilvl w:val="0"/>
          <w:numId w:val="0"/>
        </w:numPr>
        <w:suppressAutoHyphens w:val="false"/>
        <w:spacing w:before="120" w:after="120"/>
        <w:ind w:left="567" w:hanging="0"/>
        <w:contextualSpacing w:val="false"/>
        <w:rPr>
          <w:b/>
          <w:bCs/>
        </w:rPr>
      </w:pPr>
      <w:r>
        <w:rPr>
          <w:b/>
          <w:bCs/>
        </w:rPr>
        <w:t xml:space="preserve">3. Cloud security is another threat that can be exploited to gain sensitive data. With a lot of companies using cloud providers to host their data, a simple misconfiguration in the access controls can allow any unauthenticated user to access the data from anywhere at any time. </w:t>
      </w:r>
    </w:p>
    <w:p>
      <w:pPr>
        <w:pStyle w:val="ListParagraph"/>
        <w:widowControl/>
        <w:numPr>
          <w:ilvl w:val="1"/>
          <w:numId w:val="9"/>
        </w:numPr>
        <w:suppressAutoHyphens w:val="false"/>
        <w:spacing w:before="120" w:after="120"/>
        <w:ind w:left="567" w:hanging="567"/>
        <w:contextualSpacing w:val="false"/>
        <w:rPr>
          <w:rFonts w:cs="Arial"/>
        </w:rPr>
      </w:pPr>
      <w:r>
        <w:rPr>
          <w:rFonts w:cs="Arial"/>
        </w:rPr>
        <w:t>Research and explain the following cyber-security terms:</w:t>
      </w:r>
    </w:p>
    <w:p>
      <w:pPr>
        <w:pStyle w:val="ListParagraph"/>
        <w:widowControl/>
        <w:numPr>
          <w:ilvl w:val="0"/>
          <w:numId w:val="13"/>
        </w:numPr>
        <w:suppressAutoHyphens w:val="false"/>
        <w:spacing w:before="120" w:after="120"/>
        <w:ind w:left="1134" w:hanging="567"/>
        <w:contextualSpacing w:val="false"/>
        <w:rPr>
          <w:rFonts w:cs="Arial"/>
        </w:rPr>
      </w:pPr>
      <w:r>
        <w:rPr>
          <w:rFonts w:cs="Arial"/>
        </w:rPr>
        <w:t>Botnets</w:t>
      </w:r>
    </w:p>
    <w:p>
      <w:pPr>
        <w:pStyle w:val="ListParagraph"/>
        <w:widowControl/>
        <w:numPr>
          <w:ilvl w:val="0"/>
          <w:numId w:val="0"/>
        </w:numPr>
        <w:suppressAutoHyphens w:val="false"/>
        <w:spacing w:before="120" w:after="120"/>
        <w:ind w:left="1134" w:hanging="0"/>
        <w:contextualSpacing w:val="false"/>
        <w:rPr/>
      </w:pPr>
      <w:r>
        <w:rPr>
          <w:b/>
          <w:bCs/>
        </w:rPr>
        <w:t xml:space="preserve">A botnet is a network of devices that have been compromised and taken over to be used for malicious activities such as email spam or denial of service attacks </w:t>
      </w:r>
      <w:r>
        <w:rPr>
          <w:b/>
          <w:bCs/>
        </w:rPr>
        <w:t>(Paloaltonetworks.com, 2019)</w:t>
      </w:r>
      <w:r>
        <w:rPr>
          <w:b/>
          <w:bCs/>
        </w:rPr>
        <w:t>.</w:t>
      </w:r>
    </w:p>
    <w:p>
      <w:pPr>
        <w:pStyle w:val="ListParagraph"/>
        <w:widowControl/>
        <w:numPr>
          <w:ilvl w:val="0"/>
          <w:numId w:val="13"/>
        </w:numPr>
        <w:suppressAutoHyphens w:val="false"/>
        <w:spacing w:before="120" w:after="120"/>
        <w:ind w:left="1134" w:hanging="567"/>
        <w:contextualSpacing w:val="false"/>
        <w:rPr>
          <w:rFonts w:cs="Arial"/>
        </w:rPr>
      </w:pPr>
      <w:r>
        <w:rPr>
          <w:rFonts w:cs="Arial"/>
        </w:rPr>
        <w:t>Malware</w:t>
      </w:r>
    </w:p>
    <w:p>
      <w:pPr>
        <w:pStyle w:val="ListParagraph"/>
        <w:widowControl/>
        <w:numPr>
          <w:ilvl w:val="0"/>
          <w:numId w:val="0"/>
        </w:numPr>
        <w:suppressAutoHyphens w:val="false"/>
        <w:spacing w:before="120" w:after="120"/>
        <w:ind w:left="1134" w:hanging="0"/>
        <w:contextualSpacing w:val="false"/>
        <w:rPr/>
      </w:pPr>
      <w:r>
        <w:rPr>
          <w:b/>
          <w:bCs/>
        </w:rPr>
        <w:t xml:space="preserve">Malware is software that has malicious intent and can cause damage or harm to a network or system </w:t>
      </w:r>
      <w:r>
        <w:rPr>
          <w:b/>
          <w:bCs/>
        </w:rPr>
        <w:t>(Malwarebytes, 2020)</w:t>
      </w:r>
      <w:r>
        <w:rPr>
          <w:b/>
          <w:bCs/>
        </w:rPr>
        <w:t xml:space="preserve">. </w:t>
      </w:r>
    </w:p>
    <w:p>
      <w:pPr>
        <w:pStyle w:val="ListParagraph"/>
        <w:widowControl/>
        <w:numPr>
          <w:ilvl w:val="0"/>
          <w:numId w:val="13"/>
        </w:numPr>
        <w:suppressAutoHyphens w:val="false"/>
        <w:spacing w:before="120" w:after="120"/>
        <w:ind w:left="1134" w:hanging="567"/>
        <w:contextualSpacing w:val="false"/>
        <w:rPr>
          <w:rFonts w:cs="Arial"/>
        </w:rPr>
      </w:pPr>
      <w:r>
        <w:rPr>
          <w:rFonts w:cs="Arial"/>
        </w:rPr>
        <w:t>Viruses</w:t>
      </w:r>
    </w:p>
    <w:p>
      <w:pPr>
        <w:pStyle w:val="ListParagraph"/>
        <w:widowControl/>
        <w:numPr>
          <w:ilvl w:val="0"/>
          <w:numId w:val="0"/>
        </w:numPr>
        <w:suppressAutoHyphens w:val="false"/>
        <w:spacing w:before="120" w:after="120"/>
        <w:ind w:left="1134" w:hanging="0"/>
        <w:contextualSpacing w:val="false"/>
        <w:rPr/>
      </w:pPr>
      <w:r>
        <w:rPr>
          <w:b/>
          <w:bCs/>
        </w:rPr>
        <w:t xml:space="preserve">A virus is a piece of software that can replicate itself to other devices and continue to spread and possibly delete files </w:t>
      </w:r>
      <w:r>
        <w:rPr>
          <w:b/>
          <w:bCs/>
        </w:rPr>
        <w:t>(Nieles, Dempsey and Pillitteri, 2017)</w:t>
      </w:r>
      <w:r>
        <w:rPr>
          <w:b/>
          <w:bCs/>
        </w:rPr>
        <w:t xml:space="preserve">. </w:t>
      </w:r>
    </w:p>
    <w:p>
      <w:pPr>
        <w:pStyle w:val="ListParagraph"/>
        <w:widowControl/>
        <w:numPr>
          <w:ilvl w:val="0"/>
          <w:numId w:val="13"/>
        </w:numPr>
        <w:suppressAutoHyphens w:val="false"/>
        <w:spacing w:before="120" w:after="120"/>
        <w:ind w:left="1134" w:hanging="567"/>
        <w:contextualSpacing w:val="false"/>
        <w:rPr>
          <w:rFonts w:cs="Arial"/>
        </w:rPr>
      </w:pPr>
      <w:r>
        <w:rPr>
          <w:rFonts w:cs="Arial"/>
        </w:rPr>
        <w:t>Worms</w:t>
      </w:r>
    </w:p>
    <w:p>
      <w:pPr>
        <w:pStyle w:val="ListParagraph"/>
        <w:widowControl/>
        <w:numPr>
          <w:ilvl w:val="0"/>
          <w:numId w:val="0"/>
        </w:numPr>
        <w:suppressAutoHyphens w:val="false"/>
        <w:spacing w:before="120" w:after="120"/>
        <w:ind w:left="1134" w:hanging="0"/>
        <w:contextualSpacing w:val="false"/>
        <w:rPr>
          <w:b/>
          <w:bCs/>
        </w:rPr>
      </w:pPr>
      <w:r>
        <w:rPr>
          <w:b/>
          <w:bCs/>
        </w:rPr>
        <w:t xml:space="preserve">A worm is similar to a virus in that it replicates and spreads but a worm does it through networks to reach other systems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Root Kits</w:t>
      </w:r>
    </w:p>
    <w:p>
      <w:pPr>
        <w:pStyle w:val="ListParagraph"/>
        <w:widowControl/>
        <w:numPr>
          <w:ilvl w:val="0"/>
          <w:numId w:val="0"/>
        </w:numPr>
        <w:suppressAutoHyphens w:val="false"/>
        <w:spacing w:before="120" w:after="120"/>
        <w:ind w:left="1134" w:hanging="0"/>
        <w:contextualSpacing w:val="false"/>
        <w:rPr/>
      </w:pPr>
      <w:r>
        <w:rPr>
          <w:b/>
          <w:bCs/>
        </w:rPr>
        <w:t>A root kit is software that allows hackers to have administrator level privileges. This is achieved with the root kit operating at kernel level which has the most access to the host system(Kaspersky, 2021).</w:t>
      </w:r>
    </w:p>
    <w:p>
      <w:pPr>
        <w:pStyle w:val="Normal"/>
        <w:rPr>
          <w:rFonts w:cs="Arial"/>
          <w:b/>
          <w:sz w:val="24"/>
        </w:rPr>
      </w:pPr>
      <w:r>
        <w:rPr>
          <w:rFonts w:cs="Arial"/>
          <w:b/>
          <w:sz w:val="24"/>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2 – Identify cyber-security needs of organisations</w:t>
      </w:r>
    </w:p>
    <w:p>
      <w:pPr>
        <w:pStyle w:val="Heading3"/>
        <w:rPr/>
      </w:pPr>
      <w:r>
        <w:rPr/>
        <w:t>Task 1: Identify organisations’ data risks, vulnerabilities and cyber-security needs</w:t>
      </w:r>
    </w:p>
    <w:p>
      <w:pPr>
        <w:pStyle w:val="Normal"/>
        <w:rPr/>
      </w:pPr>
      <w:r>
        <w:rPr/>
        <w:t xml:space="preserve">For </w:t>
      </w:r>
      <w:r>
        <w:rPr>
          <w:b/>
        </w:rPr>
        <w:t>each</w:t>
      </w:r>
      <w:r>
        <w:rPr/>
        <w:t xml:space="preserve"> scenario presented, provide the following information: </w:t>
      </w:r>
    </w:p>
    <w:p>
      <w:pPr>
        <w:pStyle w:val="ListParagraph"/>
        <w:widowControl/>
        <w:numPr>
          <w:ilvl w:val="1"/>
          <w:numId w:val="10"/>
        </w:numPr>
        <w:suppressAutoHyphens w:val="false"/>
        <w:spacing w:before="120" w:after="120"/>
        <w:ind w:left="567" w:hanging="567"/>
        <w:contextualSpacing w:val="false"/>
        <w:rPr>
          <w:rFonts w:cs="Arial"/>
        </w:rPr>
      </w:pPr>
      <w:r>
        <w:rPr>
          <w:rFonts w:cs="Arial"/>
        </w:rPr>
        <w:t>Describe the organisation’s data types and associated data risks for each type of data identified.</w:t>
      </w:r>
    </w:p>
    <w:p>
      <w:pPr>
        <w:pStyle w:val="ListParagraph"/>
        <w:widowControl/>
        <w:numPr>
          <w:ilvl w:val="1"/>
          <w:numId w:val="10"/>
        </w:numPr>
        <w:suppressAutoHyphens w:val="false"/>
        <w:spacing w:before="120" w:after="120"/>
        <w:ind w:left="567" w:hanging="567"/>
        <w:contextualSpacing w:val="false"/>
        <w:rPr>
          <w:rFonts w:cs="Arial"/>
        </w:rPr>
      </w:pPr>
      <w:r>
        <w:rPr>
          <w:rFonts w:cs="Arial"/>
        </w:rPr>
        <w:t>Identify the different ways data is accessed in the organisation.</w:t>
      </w:r>
    </w:p>
    <w:p>
      <w:pPr>
        <w:pStyle w:val="ListParagraph"/>
        <w:widowControl/>
        <w:numPr>
          <w:ilvl w:val="1"/>
          <w:numId w:val="10"/>
        </w:numPr>
        <w:suppressAutoHyphens w:val="false"/>
        <w:spacing w:before="120" w:after="120"/>
        <w:ind w:left="567" w:hanging="567"/>
        <w:contextualSpacing w:val="false"/>
        <w:rPr>
          <w:rFonts w:cs="Arial"/>
        </w:rPr>
      </w:pPr>
      <w:r>
        <w:rPr>
          <w:rFonts w:cs="Arial"/>
        </w:rPr>
        <w:t>Consider the risk that a security breach poses for the organisation and describe the reason the organisation has to protect:</w:t>
      </w:r>
    </w:p>
    <w:p>
      <w:pPr>
        <w:pStyle w:val="ListParagraph"/>
        <w:widowControl/>
        <w:numPr>
          <w:ilvl w:val="0"/>
          <w:numId w:val="11"/>
        </w:numPr>
        <w:suppressAutoHyphens w:val="false"/>
        <w:spacing w:before="120" w:after="120"/>
        <w:ind w:left="1134" w:hanging="567"/>
        <w:contextualSpacing w:val="false"/>
        <w:rPr>
          <w:rFonts w:cs="Arial"/>
        </w:rPr>
      </w:pPr>
      <w:r>
        <w:rPr>
          <w:rFonts w:cs="Arial"/>
        </w:rPr>
        <w:t>Organisation’s data</w:t>
      </w:r>
    </w:p>
    <w:p>
      <w:pPr>
        <w:pStyle w:val="ListParagraph"/>
        <w:widowControl/>
        <w:numPr>
          <w:ilvl w:val="0"/>
          <w:numId w:val="11"/>
        </w:numPr>
        <w:suppressAutoHyphens w:val="false"/>
        <w:spacing w:before="120" w:after="120"/>
        <w:ind w:left="1134" w:hanging="567"/>
        <w:contextualSpacing w:val="false"/>
        <w:rPr>
          <w:rFonts w:cs="Arial"/>
        </w:rPr>
      </w:pPr>
      <w:r>
        <w:rPr>
          <w:rFonts w:cs="Arial"/>
        </w:rPr>
        <w:t>Online identity of users and their private data</w:t>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each organisation’s data, identify the potential vulnerabilities of the organisation. Identify and explain at least three (3) vulnerabilities.</w:t>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vulnerability identified, explain the techniques that attackers could use to infiltrate the data.</w:t>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organisation, list and explain the cyber-attack methods that could be utilised to bring their infrastructure defences down.</w:t>
      </w:r>
    </w:p>
    <w:p>
      <w:pPr>
        <w:pStyle w:val="Normal"/>
        <w:rPr>
          <w:rFonts w:cs="Arial"/>
          <w:b/>
        </w:rPr>
      </w:pPr>
      <w:r>
        <w:rPr>
          <w:rFonts w:cs="Arial"/>
          <w:b/>
        </w:rPr>
      </w:r>
    </w:p>
    <w:p>
      <w:pPr>
        <w:pStyle w:val="Heading3"/>
        <w:rPr/>
      </w:pPr>
      <w:r>
        <w:rPr/>
        <w:t>Task 2: Identify cyber-security measures for the organisation</w:t>
      </w:r>
    </w:p>
    <w:p>
      <w:pPr>
        <w:pStyle w:val="Normal"/>
        <w:rPr/>
      </w:pPr>
      <w:r>
        <w:rPr/>
        <w:t xml:space="preserve">Task 1 identified the organisations’ data, risks and vulnerabilities. This section concentrates on outlining the security measures required to protect the organisations against potential cyber attacks.  </w:t>
      </w:r>
    </w:p>
    <w:p>
      <w:pPr>
        <w:pStyle w:val="Normal"/>
        <w:rPr/>
      </w:pPr>
      <w:r>
        <w:rPr/>
        <w:t xml:space="preserve">For </w:t>
      </w:r>
      <w:r>
        <w:rPr>
          <w:b/>
        </w:rPr>
        <w:t>each</w:t>
      </w:r>
      <w:r>
        <w:rPr/>
        <w:t xml:space="preserve"> scenario presented, complete the following tasks:</w:t>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the information obtained in Task 1, outline a strategy to defend the organisation’s data from threat actors. The strategy must include:</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methods</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techniques</w:t>
      </w:r>
    </w:p>
    <w:p>
      <w:pPr>
        <w:pStyle w:val="ListParagraph"/>
        <w:widowControl/>
        <w:numPr>
          <w:ilvl w:val="0"/>
          <w:numId w:val="12"/>
        </w:numPr>
        <w:suppressAutoHyphens w:val="false"/>
        <w:spacing w:before="120" w:after="120"/>
        <w:ind w:left="1134" w:hanging="567"/>
        <w:contextualSpacing w:val="false"/>
        <w:rPr>
          <w:rFonts w:cs="Arial"/>
        </w:rPr>
      </w:pPr>
      <w:r>
        <w:rPr>
          <w:rFonts w:cs="Arial"/>
        </w:rPr>
        <w:t>Organisational policies and procedures</w:t>
      </w:r>
    </w:p>
    <w:p>
      <w:pPr>
        <w:pStyle w:val="ListParagraph"/>
        <w:widowControl/>
        <w:numPr>
          <w:ilvl w:val="1"/>
          <w:numId w:val="10"/>
        </w:numPr>
        <w:suppressAutoHyphens w:val="false"/>
        <w:spacing w:before="120" w:after="120"/>
        <w:ind w:left="567" w:hanging="567"/>
        <w:contextualSpacing w:val="false"/>
        <w:rPr>
          <w:rFonts w:cs="Arial"/>
        </w:rPr>
      </w:pPr>
      <w:r>
        <w:rPr>
          <w:rFonts w:cs="Arial"/>
        </w:rPr>
        <w:t>Recommend four (4) essential cyber-security awareness practices for the scenarios presented.</w:t>
      </w:r>
    </w:p>
    <w:p>
      <w:pPr>
        <w:pStyle w:val="Normal"/>
        <w:spacing w:lineRule="auto" w:line="360" w:before="0" w:after="0"/>
        <w:textAlignment w:val="baseline"/>
        <w:rPr>
          <w:rFonts w:cs="Arial"/>
          <w:b/>
          <w:szCs w:val="22"/>
        </w:rPr>
      </w:pPr>
      <w:r>
        <w:rPr>
          <w:rFonts w:cs="Arial"/>
          <w:b/>
          <w:szCs w:val="22"/>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3 – Methods and tools to safeguard personal privacy</w:t>
      </w:r>
    </w:p>
    <w:p>
      <w:pPr>
        <w:pStyle w:val="Heading3"/>
        <w:rPr/>
      </w:pPr>
      <w:r>
        <w:rPr/>
        <w:t>Task 1: Methods and tools selection</w:t>
      </w:r>
    </w:p>
    <w:p>
      <w:pPr>
        <w:pStyle w:val="Normal"/>
        <w:rPr/>
      </w:pPr>
      <w:r>
        <w:rPr/>
        <w:t xml:space="preserve">For </w:t>
      </w:r>
      <w:r>
        <w:rPr>
          <w:b/>
        </w:rPr>
        <w:t>each</w:t>
      </w:r>
      <w:r>
        <w:rPr/>
        <w:t xml:space="preserve"> scenario, complete the following tasks:</w:t>
      </w:r>
    </w:p>
    <w:p>
      <w:pPr>
        <w:pStyle w:val="Normal"/>
        <w:ind w:left="567" w:hanging="567"/>
        <w:textAlignment w:val="baseline"/>
        <w:rPr>
          <w:rFonts w:cs="Arial"/>
          <w:szCs w:val="22"/>
        </w:rPr>
      </w:pPr>
      <w:r>
        <w:rPr>
          <w:rFonts w:cs="Arial"/>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rFonts w:cs="Arial"/>
          <w:szCs w:val="22"/>
        </w:rPr>
      </w:pPr>
      <w:r>
        <w:rPr>
          <w:rFonts w:cs="Arial"/>
          <w:szCs w:val="22"/>
        </w:rPr>
        <w:t>3.2</w:t>
        <w:tab/>
        <w:t>Outline the setup required to protect the organisation from cyber-security attacks. The setup includes:</w:t>
      </w:r>
    </w:p>
    <w:p>
      <w:pPr>
        <w:pStyle w:val="ListParagraph"/>
        <w:widowControl/>
        <w:numPr>
          <w:ilvl w:val="0"/>
          <w:numId w:val="15"/>
        </w:numPr>
        <w:suppressAutoHyphens w:val="false"/>
        <w:spacing w:before="120" w:after="120"/>
        <w:ind w:left="1134" w:hanging="567"/>
        <w:contextualSpacing w:val="false"/>
        <w:rPr>
          <w:rFonts w:cs="Arial"/>
        </w:rPr>
      </w:pPr>
      <w:r>
        <w:rPr>
          <w:rFonts w:cs="Arial"/>
        </w:rPr>
        <w:t>Common infrastructure</w:t>
      </w:r>
    </w:p>
    <w:p>
      <w:pPr>
        <w:pStyle w:val="ListParagraph"/>
        <w:widowControl/>
        <w:numPr>
          <w:ilvl w:val="0"/>
          <w:numId w:val="15"/>
        </w:numPr>
        <w:suppressAutoHyphens w:val="false"/>
        <w:spacing w:before="120" w:after="120"/>
        <w:ind w:left="1134" w:hanging="567"/>
        <w:contextualSpacing w:val="false"/>
        <w:rPr>
          <w:rFonts w:cs="Arial"/>
        </w:rPr>
      </w:pPr>
      <w:r>
        <w:rPr>
          <w:rFonts w:cs="Arial"/>
        </w:rPr>
        <w:t>Equipment</w:t>
      </w:r>
    </w:p>
    <w:p>
      <w:pPr>
        <w:pStyle w:val="ListParagraph"/>
        <w:widowControl/>
        <w:numPr>
          <w:ilvl w:val="0"/>
          <w:numId w:val="15"/>
        </w:numPr>
        <w:suppressAutoHyphens w:val="false"/>
        <w:spacing w:before="120" w:after="120"/>
        <w:ind w:left="1134" w:hanging="567"/>
        <w:contextualSpacing w:val="false"/>
        <w:rPr>
          <w:rFonts w:cs="Arial"/>
        </w:rPr>
      </w:pPr>
      <w:r>
        <w:rPr>
          <w:rFonts w:cs="Arial"/>
        </w:rPr>
        <w:t xml:space="preserve">Software </w:t>
      </w:r>
    </w:p>
    <w:p>
      <w:pPr>
        <w:pStyle w:val="Normal"/>
        <w:ind w:left="567" w:hanging="567"/>
        <w:textAlignment w:val="baseline"/>
        <w:rPr>
          <w:rFonts w:cs="Arial"/>
          <w:szCs w:val="22"/>
        </w:rPr>
      </w:pPr>
      <w:r>
        <w:rPr>
          <w:rFonts w:cs="Arial"/>
          <w:szCs w:val="22"/>
        </w:rPr>
        <w:t>3.3</w:t>
        <w:tab/>
        <w:t>Investigate and propose measures to protect the organisation from cyber attacks. The measures must include:</w:t>
      </w:r>
    </w:p>
    <w:p>
      <w:pPr>
        <w:pStyle w:val="ListParagraph"/>
        <w:widowControl/>
        <w:numPr>
          <w:ilvl w:val="0"/>
          <w:numId w:val="14"/>
        </w:numPr>
        <w:suppressAutoHyphens w:val="false"/>
        <w:spacing w:before="120" w:after="120"/>
        <w:ind w:left="1134" w:hanging="567"/>
        <w:contextualSpacing w:val="false"/>
        <w:rPr>
          <w:rFonts w:cs="Arial"/>
        </w:rPr>
      </w:pPr>
      <w:r>
        <w:rPr>
          <w:rFonts w:cs="Arial"/>
        </w:rPr>
        <w:t>Relevant cyber-security policies and procedures</w:t>
      </w:r>
    </w:p>
    <w:p>
      <w:pPr>
        <w:pStyle w:val="ListParagraph"/>
        <w:widowControl/>
        <w:numPr>
          <w:ilvl w:val="0"/>
          <w:numId w:val="14"/>
        </w:numPr>
        <w:suppressAutoHyphens w:val="false"/>
        <w:spacing w:before="120" w:after="120"/>
        <w:ind w:left="1134" w:hanging="567"/>
        <w:contextualSpacing w:val="false"/>
        <w:rPr>
          <w:rFonts w:cs="Arial"/>
        </w:rPr>
      </w:pPr>
      <w:r>
        <w:rPr>
          <w:rFonts w:cs="Arial"/>
        </w:rPr>
        <w:t>Cyber-security tools and systems</w:t>
      </w:r>
    </w:p>
    <w:p>
      <w:pPr>
        <w:pStyle w:val="Normal"/>
        <w:ind w:left="567" w:hanging="567"/>
        <w:textAlignment w:val="baseline"/>
        <w:rPr>
          <w:rFonts w:cs="Arial"/>
          <w:szCs w:val="22"/>
        </w:rPr>
      </w:pPr>
      <w:r>
        <w:rPr>
          <w:rFonts w:cs="Arial"/>
          <w:szCs w:val="22"/>
        </w:rPr>
        <w:t xml:space="preserve">3.4 </w:t>
        <w:tab/>
        <w:t>Explain the following mitigation strategies and identify how they could be utilised in the scenario presented.</w:t>
      </w:r>
    </w:p>
    <w:p>
      <w:pPr>
        <w:pStyle w:val="Normal"/>
        <w:ind w:left="1134" w:hanging="567"/>
        <w:textAlignment w:val="baseline"/>
        <w:rPr>
          <w:rFonts w:cs="Arial"/>
          <w:szCs w:val="22"/>
        </w:rPr>
      </w:pPr>
      <w:r>
        <w:rPr>
          <w:rFonts w:cs="Arial"/>
          <w:szCs w:val="22"/>
        </w:rPr>
        <w:t>a)</w:t>
        <w:tab/>
        <w:t>Cyber Kill Chain process</w:t>
      </w:r>
    </w:p>
    <w:p>
      <w:pPr>
        <w:pStyle w:val="Normal"/>
        <w:ind w:left="1134" w:hanging="567"/>
        <w:textAlignment w:val="baseline"/>
        <w:rPr>
          <w:rFonts w:cs="Arial"/>
          <w:szCs w:val="22"/>
        </w:rPr>
      </w:pPr>
      <w:r>
        <w:rPr>
          <w:rFonts w:cs="Arial"/>
          <w:szCs w:val="22"/>
        </w:rPr>
        <w:t>b)</w:t>
        <w:tab/>
        <w:t>MITRE Adversarial Tactics, Techniques and Common Knowledge (ATT&amp;CK)</w:t>
      </w:r>
    </w:p>
    <w:p>
      <w:pPr>
        <w:pStyle w:val="Normal"/>
        <w:ind w:left="709" w:hanging="709"/>
        <w:textAlignment w:val="baseline"/>
        <w:rPr>
          <w:rFonts w:cs="Arial"/>
          <w:szCs w:val="22"/>
        </w:rPr>
      </w:pPr>
      <w:r>
        <w:rPr>
          <w:rFonts w:cs="Arial"/>
          <w:szCs w:val="22"/>
        </w:rPr>
        <w:t>3.5</w:t>
        <w:tab/>
        <w:t xml:space="preserve">Investigate and explain why </w:t>
      </w:r>
      <w:r>
        <w:rPr>
          <w:rFonts w:cs="Arial"/>
          <w:i/>
          <w:szCs w:val="22"/>
        </w:rPr>
        <w:t>behaviour-based security</w:t>
      </w:r>
      <w:r>
        <w:rPr>
          <w:rFonts w:cs="Arial"/>
          <w:szCs w:val="22"/>
        </w:rPr>
        <w:t xml:space="preserve"> is different from a traditional firewall. Which methods should be used in the scenario? And why?</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2: Protecting personal data of an internet service user</w:t>
      </w:r>
      <w:r>
        <w:rPr>
          <w:b w:val="false"/>
          <w:bCs w:val="false"/>
        </w:rPr>
        <w:t xml:space="preserve"> (not part of the scenarios)</w:t>
      </w:r>
    </w:p>
    <w:p>
      <w:pPr>
        <w:pStyle w:val="Normal"/>
        <w:ind w:left="567" w:hanging="567"/>
        <w:rPr>
          <w:bCs/>
        </w:rPr>
      </w:pPr>
      <w:r>
        <w:rPr>
          <w:rFonts w:cs="Arial"/>
          <w:bCs/>
        </w:rPr>
        <w:t>3.6</w:t>
        <w:tab/>
      </w:r>
      <w:r>
        <w:rPr>
          <w:bCs/>
        </w:rPr>
        <w:t>Select one of the following online services:</w:t>
      </w:r>
    </w:p>
    <w:p>
      <w:pPr>
        <w:pStyle w:val="Bulletindent1"/>
        <w:numPr>
          <w:ilvl w:val="0"/>
          <w:numId w:val="2"/>
        </w:numPr>
        <w:ind w:left="1134" w:hanging="567"/>
        <w:rPr/>
      </w:pPr>
      <w:r>
        <w:rPr/>
        <w:t>Facebook</w:t>
      </w:r>
    </w:p>
    <w:p>
      <w:pPr>
        <w:pStyle w:val="Bulletindent1"/>
        <w:numPr>
          <w:ilvl w:val="0"/>
          <w:numId w:val="2"/>
        </w:numPr>
        <w:ind w:left="1134" w:hanging="567"/>
        <w:rPr/>
      </w:pPr>
      <w:r>
        <w:rPr/>
        <w:t>Twitter</w:t>
      </w:r>
    </w:p>
    <w:p>
      <w:pPr>
        <w:pStyle w:val="Bulletindent1"/>
        <w:numPr>
          <w:ilvl w:val="0"/>
          <w:numId w:val="2"/>
        </w:numPr>
        <w:ind w:left="1134" w:hanging="567"/>
        <w:rPr/>
      </w:pPr>
      <w:r>
        <w:rPr/>
        <w:t>Instagram</w:t>
      </w:r>
    </w:p>
    <w:p>
      <w:pPr>
        <w:pStyle w:val="Bulletindent1"/>
        <w:numPr>
          <w:ilvl w:val="0"/>
          <w:numId w:val="2"/>
        </w:numPr>
        <w:ind w:left="1134" w:hanging="567"/>
        <w:rPr/>
      </w:pPr>
      <w:r>
        <w:rPr/>
        <w:t>LinkedIn</w:t>
      </w:r>
    </w:p>
    <w:p>
      <w:pPr>
        <w:pStyle w:val="Indent1"/>
        <w:rPr/>
      </w:pPr>
      <w:r>
        <w:rPr/>
        <w:t>Find the terms of service and any privacy/security policies for the selected online service. Read these documents.</w:t>
      </w:r>
    </w:p>
    <w:p>
      <w:pPr>
        <w:pStyle w:val="Indent1"/>
        <w:rPr/>
      </w:pPr>
      <w:r>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3: Demonstration: Malware simulation</w:t>
      </w:r>
    </w:p>
    <w:p>
      <w:pPr>
        <w:pStyle w:val="Normal"/>
        <w:ind w:left="567" w:hanging="567"/>
        <w:textAlignment w:val="baseline"/>
        <w:rPr>
          <w:rFonts w:cs="Arial"/>
          <w:b/>
          <w:szCs w:val="22"/>
        </w:rPr>
      </w:pPr>
      <w:r>
        <w:rPr>
          <w:rFonts w:cs="Arial"/>
          <w:szCs w:val="22"/>
        </w:rPr>
        <w:t>3.7</w:t>
        <w:tab/>
      </w:r>
      <w:r>
        <w:rPr>
          <w:rFonts w:cs="Arial"/>
          <w:b/>
          <w:szCs w:val="22"/>
        </w:rPr>
        <w:t>Attacking a system with malware</w:t>
      </w:r>
    </w:p>
    <w:p>
      <w:pPr>
        <w:pStyle w:val="Indent1"/>
        <w:rPr/>
      </w:pPr>
      <w:r>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pPr>
      <w:r>
        <w:rPr/>
        <w:t>For this activity, you need to select a malware simulation tool. Identify and briefly describe the tool.</w:t>
      </w:r>
    </w:p>
    <w:p>
      <w:pPr>
        <w:pStyle w:val="Indent1"/>
        <w:rPr/>
      </w:pPr>
      <w:r>
        <w:rPr/>
        <w:t>Run the selected tool within your virtual environment.</w:t>
      </w:r>
    </w:p>
    <w:p>
      <w:pPr>
        <w:pStyle w:val="Indent1"/>
        <w:rPr/>
      </w:pPr>
      <w:r>
        <w:rPr/>
        <w:t>Launch the simulated malware attack. Take screenshots that show the delivery of the malware to the user, the user launching the malware and any results (successful or otherwise) of the malware. Submit screenshots as evidence.</w:t>
      </w:r>
    </w:p>
    <w:p>
      <w:pPr>
        <w:pStyle w:val="Indent1"/>
        <w:rPr/>
      </w:pPr>
      <w:r>
        <w:rPr/>
      </w:r>
    </w:p>
    <w:p>
      <w:pPr>
        <w:pStyle w:val="Normal"/>
        <w:ind w:left="567" w:hanging="567"/>
        <w:rPr/>
      </w:pPr>
      <w:r>
        <w:rPr/>
        <w:t>3.8</w:t>
        <w:tab/>
        <w:t>After completing 3.7, answer the following questions:</w:t>
      </w:r>
    </w:p>
    <w:p>
      <w:pPr>
        <w:pStyle w:val="Normal"/>
        <w:ind w:left="1134" w:hanging="567"/>
        <w:rPr/>
      </w:pPr>
      <w:r>
        <w:rPr/>
        <w:t>a)</w:t>
        <w:tab/>
        <w:t xml:space="preserve">Was the malware attack successful or not? </w:t>
      </w:r>
    </w:p>
    <w:p>
      <w:pPr>
        <w:pStyle w:val="Normal"/>
        <w:ind w:left="1134" w:hanging="567"/>
        <w:rPr/>
      </w:pPr>
      <w:r>
        <w:rPr/>
        <w:t>b)</w:t>
        <w:tab/>
        <w:t xml:space="preserve">If successful, how do you know that it was successful? </w:t>
      </w:r>
    </w:p>
    <w:p>
      <w:pPr>
        <w:pStyle w:val="Normal"/>
        <w:ind w:left="1134" w:hanging="567"/>
        <w:rPr/>
      </w:pPr>
      <w:r>
        <w:rPr/>
        <w:t>c)</w:t>
        <w:tab/>
        <w:t>If not, what defence mechanism on your PC prevented the attack?</w:t>
      </w:r>
    </w:p>
    <w:p>
      <w:pPr>
        <w:pStyle w:val="Normal"/>
        <w:spacing w:lineRule="auto" w:line="360" w:before="0" w:after="0"/>
        <w:textAlignment w:val="baseline"/>
        <w:rPr>
          <w:rFonts w:cs="Arial"/>
          <w:szCs w:val="22"/>
        </w:rPr>
      </w:pPr>
      <w:r>
        <w:rPr>
          <w:rFonts w:cs="Arial"/>
          <w:szCs w:val="22"/>
        </w:rPr>
      </w:r>
    </w:p>
    <w:p>
      <w:pPr>
        <w:pStyle w:val="Heading2"/>
        <w:rPr/>
      </w:pPr>
      <w:r>
        <w:rPr/>
        <w:t>PART 4 – Internet of Things (IoT) devices</w:t>
      </w:r>
    </w:p>
    <w:p>
      <w:pPr>
        <w:pStyle w:val="Normal"/>
        <w:rPr>
          <w:rFonts w:cs="Arial"/>
          <w:b/>
        </w:rPr>
      </w:pPr>
      <w:r>
        <w:rPr>
          <w:rFonts w:cs="Arial"/>
          <w:b/>
        </w:rPr>
        <w:t>For this part of the portfolio, you can concentrate on the scenario that is more likely to use IoT devices.</w:t>
      </w:r>
    </w:p>
    <w:p>
      <w:pPr>
        <w:pStyle w:val="Normal"/>
        <w:ind w:left="567" w:hanging="567"/>
        <w:rPr>
          <w:rFonts w:cs="Arial"/>
        </w:rPr>
      </w:pPr>
      <w:r>
        <w:rPr>
          <w:rFonts w:cs="Arial"/>
        </w:rPr>
        <w:t>4.1</w:t>
        <w:tab/>
        <w:t>Provide examples of IoT devices that could be implemented in the scenario selected. Identify at least three (3) devices.</w:t>
      </w:r>
    </w:p>
    <w:p>
      <w:pPr>
        <w:pStyle w:val="Normal"/>
        <w:ind w:left="567" w:hanging="567"/>
        <w:rPr>
          <w:rFonts w:cs="Arial"/>
        </w:rPr>
      </w:pPr>
      <w:r>
        <w:rPr>
          <w:rFonts w:cs="Arial"/>
        </w:rPr>
        <w:t>4.2</w:t>
        <w:tab/>
        <w:t>For each IoT device identified in 4.1, research and explain manufacturers’ details on:</w:t>
      </w:r>
    </w:p>
    <w:p>
      <w:pPr>
        <w:pStyle w:val="Normal"/>
        <w:ind w:left="1134" w:hanging="567"/>
        <w:rPr>
          <w:rFonts w:cs="Arial"/>
        </w:rPr>
      </w:pPr>
      <w:r>
        <w:rPr>
          <w:rFonts w:cs="Arial"/>
        </w:rPr>
        <w:t xml:space="preserve">a) </w:t>
        <w:tab/>
        <w:t xml:space="preserve">The methods that the device uses to protect data privacy </w:t>
      </w:r>
    </w:p>
    <w:p>
      <w:pPr>
        <w:pStyle w:val="Normal"/>
        <w:ind w:left="1134" w:hanging="567"/>
        <w:rPr>
          <w:rFonts w:cs="Arial"/>
        </w:rPr>
      </w:pPr>
      <w:r>
        <w:rPr>
          <w:rFonts w:cs="Arial"/>
        </w:rPr>
        <w:t xml:space="preserve">b) </w:t>
        <w:tab/>
        <w:t>The techniques used to protect devices from cyber threats</w:t>
      </w:r>
    </w:p>
    <w:p>
      <w:pPr>
        <w:pStyle w:val="Normal"/>
        <w:ind w:left="1134" w:hanging="567"/>
        <w:rPr>
          <w:rFonts w:cs="Arial"/>
        </w:rPr>
      </w:pPr>
      <w:r>
        <w:rPr>
          <w:rFonts w:cs="Arial"/>
        </w:rPr>
        <w:t>c)</w:t>
        <w:tab/>
        <w:t>User authentication techniques</w:t>
      </w:r>
    </w:p>
    <w:p>
      <w:pPr>
        <w:pStyle w:val="Normal"/>
        <w:ind w:left="1134" w:hanging="567"/>
        <w:rPr>
          <w:rFonts w:cs="Arial"/>
        </w:rPr>
      </w:pPr>
      <w:r>
        <w:rPr>
          <w:rFonts w:cs="Arial"/>
        </w:rPr>
        <w:t xml:space="preserve">d) </w:t>
        <w:tab/>
        <w:t>Devices vulnerabilities</w:t>
      </w:r>
    </w:p>
    <w:p>
      <w:pPr>
        <w:pStyle w:val="Indent1"/>
        <w:rPr/>
      </w:pPr>
      <w:r>
        <w:rPr/>
        <w:t>Provide references for your sources as evidence using a formal referencing style, e.g. APA or Harvard.</w:t>
      </w:r>
    </w:p>
    <w:p>
      <w:pPr>
        <w:pStyle w:val="Normal"/>
        <w:ind w:left="567" w:hanging="567"/>
        <w:rPr>
          <w:rFonts w:cs="Arial"/>
        </w:rPr>
      </w:pPr>
      <w:r>
        <w:rPr>
          <w:rFonts w:cs="Arial"/>
        </w:rPr>
        <w:t>4.3</w:t>
        <w:tab/>
      </w:r>
      <w:r>
        <w:rPr>
          <w:rFonts w:cs="Arial"/>
          <w:b/>
        </w:rPr>
        <w:t>IoT Demonstration</w:t>
      </w:r>
      <w:r>
        <w:rPr>
          <w:rFonts w:cs="Arial"/>
        </w:rPr>
        <w:t xml:space="preserve"> (not part of the scenarios)</w:t>
      </w:r>
    </w:p>
    <w:p>
      <w:pPr>
        <w:pStyle w:val="Indent1"/>
        <w:rPr/>
      </w:pPr>
      <w:r>
        <w:rPr>
          <w:b/>
        </w:rPr>
        <w:t>NOTE:</w:t>
      </w:r>
      <w:r>
        <w:rPr/>
        <w:t xml:space="preserve"> Your teacher/assessor may direct you to use a different network simulator program if Cisco Packet Tracer is not available.</w:t>
      </w:r>
    </w:p>
    <w:p>
      <w:pPr>
        <w:pStyle w:val="Normal"/>
        <w:ind w:left="709" w:hanging="709"/>
        <w:rPr>
          <w:rFonts w:cs="Arial"/>
        </w:rPr>
      </w:pPr>
      <w:r>
        <w:rPr>
          <w:rFonts w:cs="Arial"/>
        </w:rPr>
        <w:t xml:space="preserve"> </w:t>
      </w:r>
    </w:p>
    <w:p>
      <w:pPr>
        <w:pStyle w:val="Normal"/>
        <w:widowControl/>
        <w:suppressAutoHyphens w:val="false"/>
        <w:spacing w:lineRule="auto" w:line="240" w:before="0" w:after="0"/>
        <w:rPr/>
      </w:pPr>
      <w:r>
        <w:rPr/>
      </w:r>
      <w:r>
        <w:br w:type="page"/>
      </w:r>
    </w:p>
    <w:p>
      <w:pPr>
        <w:pStyle w:val="Indent1"/>
        <w:rPr/>
      </w:pPr>
      <w:r>
        <w:rPr/>
        <w:t>Create a small local area network using the Cisco Packet Tracer network simulator with the following devices and cabling:</w:t>
      </w:r>
    </w:p>
    <w:p>
      <w:pPr>
        <w:pStyle w:val="Normal"/>
        <w:keepNext w:val="true"/>
        <w:ind w:left="709" w:hanging="0"/>
        <w:jc w:val="center"/>
        <w:rPr/>
      </w:pPr>
      <w:r>
        <w:rPr/>
        <w:drawing>
          <wp:inline distT="0" distB="0" distL="0" distR="0">
            <wp:extent cx="3599815" cy="2927350"/>
            <wp:effectExtent l="0" t="0" r="0" b="0"/>
            <wp:docPr id="4"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62882410" descr="Diagram&#10;&#10;Description automatically generated"/>
                    <pic:cNvPicPr>
                      <a:picLocks noChangeAspect="1" noChangeArrowheads="1"/>
                    </pic:cNvPicPr>
                  </pic:nvPicPr>
                  <pic:blipFill>
                    <a:blip r:embed="rId9"/>
                    <a:stretch>
                      <a:fillRect/>
                    </a:stretch>
                  </pic:blipFill>
                  <pic:spPr bwMode="auto">
                    <a:xfrm>
                      <a:off x="0" y="0"/>
                      <a:ext cx="3599815" cy="2927350"/>
                    </a:xfrm>
                    <a:prstGeom prst="rect">
                      <a:avLst/>
                    </a:prstGeom>
                  </pic:spPr>
                </pic:pic>
              </a:graphicData>
            </a:graphic>
          </wp:inline>
        </w:drawing>
      </w:r>
    </w:p>
    <w:p>
      <w:pPr>
        <w:pStyle w:val="Caption1"/>
        <w:rPr/>
      </w:pPr>
      <w:r>
        <w:rPr/>
        <w:t>Screenshot of CISCO Packet Tracer used with permission from CISCO.</w:t>
      </w:r>
    </w:p>
    <w:p>
      <w:pPr>
        <w:pStyle w:val="NoSpacing"/>
        <w:rPr/>
      </w:pPr>
      <w:r>
        <w:rPr/>
      </w:r>
    </w:p>
    <w:p>
      <w:pPr>
        <w:pStyle w:val="Normal"/>
        <w:rPr/>
      </w:pPr>
      <w:r>
        <w:rPr/>
        <w:t>Open a new packet tracer file and add in the required devices as per the diagram.</w:t>
      </w:r>
    </w:p>
    <w:p>
      <w:pPr>
        <w:pStyle w:val="Bullet-main"/>
        <w:numPr>
          <w:ilvl w:val="0"/>
          <w:numId w:val="2"/>
        </w:numPr>
        <w:ind w:left="567" w:hanging="567"/>
        <w:rPr/>
      </w:pPr>
      <w:r>
        <w:rPr/>
        <w:t>Configure the Home Router with the IP address of 192.168.0.1/24.</w:t>
      </w:r>
    </w:p>
    <w:p>
      <w:pPr>
        <w:pStyle w:val="Bullet-sub2"/>
        <w:numPr>
          <w:ilvl w:val="0"/>
          <w:numId w:val="3"/>
        </w:numPr>
        <w:ind w:left="1134" w:hanging="567"/>
        <w:rPr/>
      </w:pPr>
      <w:r>
        <w:rPr/>
        <w:t>DHCP enabled and starting IP address of 192.168.0.50</w:t>
      </w:r>
    </w:p>
    <w:p>
      <w:pPr>
        <w:pStyle w:val="Bullet-sub2"/>
        <w:numPr>
          <w:ilvl w:val="0"/>
          <w:numId w:val="3"/>
        </w:numPr>
        <w:ind w:left="1134" w:hanging="567"/>
        <w:rPr/>
      </w:pPr>
      <w:r>
        <w:rPr/>
        <w:t xml:space="preserve">2.4ghz  and 5 ghz SSID of HomeNetwork </w:t>
      </w:r>
    </w:p>
    <w:p>
      <w:pPr>
        <w:pStyle w:val="Bullet-sub2"/>
        <w:numPr>
          <w:ilvl w:val="0"/>
          <w:numId w:val="3"/>
        </w:numPr>
        <w:ind w:left="1134" w:hanging="567"/>
        <w:rPr/>
      </w:pPr>
      <w:r>
        <w:rPr/>
        <w:t>WiFi Security Mode WPA2 Personal</w:t>
      </w:r>
    </w:p>
    <w:p>
      <w:pPr>
        <w:pStyle w:val="Bullet-sub2"/>
        <w:numPr>
          <w:ilvl w:val="0"/>
          <w:numId w:val="3"/>
        </w:numPr>
        <w:ind w:left="1134" w:hanging="567"/>
        <w:rPr/>
      </w:pPr>
      <w:r>
        <w:rPr/>
        <w:t>WiFi Encryption AES</w:t>
      </w:r>
    </w:p>
    <w:p>
      <w:pPr>
        <w:pStyle w:val="Bullet-sub2"/>
        <w:numPr>
          <w:ilvl w:val="0"/>
          <w:numId w:val="3"/>
        </w:numPr>
        <w:ind w:left="1134" w:hanging="567"/>
        <w:rPr/>
      </w:pPr>
      <w:r>
        <w:rPr/>
        <w:t>WiFi Password HomeNetworkPass</w:t>
      </w:r>
    </w:p>
    <w:p>
      <w:pPr>
        <w:pStyle w:val="Bullet-main"/>
        <w:numPr>
          <w:ilvl w:val="0"/>
          <w:numId w:val="2"/>
        </w:numPr>
        <w:ind w:left="567" w:hanging="567"/>
        <w:rPr/>
      </w:pPr>
      <w:r>
        <w:rPr/>
        <w:t>Configure the Server with a static IP address of 192.168.0.2/24</w:t>
      </w:r>
    </w:p>
    <w:p>
      <w:pPr>
        <w:pStyle w:val="Bullet-sub2"/>
        <w:numPr>
          <w:ilvl w:val="0"/>
          <w:numId w:val="3"/>
        </w:numPr>
        <w:ind w:left="1134" w:hanging="567"/>
        <w:rPr/>
      </w:pPr>
      <w:r>
        <w:rPr/>
        <w:t>Configure the Server to be an IoT Server</w:t>
      </w:r>
    </w:p>
    <w:p>
      <w:pPr>
        <w:pStyle w:val="Bullet-sub2"/>
        <w:numPr>
          <w:ilvl w:val="0"/>
          <w:numId w:val="3"/>
        </w:numPr>
        <w:ind w:left="1134" w:hanging="567"/>
        <w:rPr/>
      </w:pPr>
      <w:r>
        <w:rPr/>
        <w:t>Create the IoT User admin with password admin through the Server desktop app ‘IoT Monitor’</w:t>
      </w:r>
    </w:p>
    <w:p>
      <w:pPr>
        <w:pStyle w:val="Bullet-main"/>
        <w:numPr>
          <w:ilvl w:val="0"/>
          <w:numId w:val="2"/>
        </w:numPr>
        <w:ind w:left="567" w:hanging="567"/>
        <w:rPr/>
      </w:pPr>
      <w:r>
        <w:rPr/>
        <w:t>Configure all other devices to connect to the Home Router WiFi network and get their IP address via DHCP.</w:t>
      </w:r>
    </w:p>
    <w:p>
      <w:pPr>
        <w:pStyle w:val="Bullet-main"/>
        <w:numPr>
          <w:ilvl w:val="0"/>
          <w:numId w:val="2"/>
        </w:numPr>
        <w:ind w:left="567" w:hanging="567"/>
        <w:rPr/>
      </w:pPr>
      <w:r>
        <w:rPr/>
        <w:t xml:space="preserve">Register the IoT devices to the Server 192.168.0.2 using the username/password of admin/admin </w:t>
      </w:r>
    </w:p>
    <w:p>
      <w:pPr>
        <w:pStyle w:val="Bullet-main"/>
        <w:numPr>
          <w:ilvl w:val="0"/>
          <w:numId w:val="2"/>
        </w:numPr>
        <w:ind w:left="567" w:hanging="567"/>
        <w:rPr/>
      </w:pPr>
      <w:r>
        <w:rPr/>
        <w:t>Use the Smartphone to login to the desktop app ‘IoT Monitor’ using the admin credentials.</w:t>
      </w:r>
    </w:p>
    <w:p>
      <w:pPr>
        <w:pStyle w:val="Bullet-sub2"/>
        <w:numPr>
          <w:ilvl w:val="0"/>
          <w:numId w:val="3"/>
        </w:numPr>
        <w:ind w:left="1134" w:hanging="567"/>
        <w:rPr/>
      </w:pPr>
      <w:r>
        <w:rPr/>
        <w:t>Paste a screenshot below of all the devices connected and their current status set as follows:</w:t>
      </w:r>
    </w:p>
    <w:p>
      <w:pPr>
        <w:pStyle w:val="Bullet-sub3"/>
        <w:numPr>
          <w:ilvl w:val="0"/>
          <w:numId w:val="4"/>
        </w:numPr>
        <w:ind w:left="1701" w:hanging="567"/>
        <w:rPr/>
      </w:pPr>
      <w:r>
        <w:rPr/>
        <w:t>Door – Locked</w:t>
      </w:r>
    </w:p>
    <w:p>
      <w:pPr>
        <w:pStyle w:val="Bullet-sub3"/>
        <w:numPr>
          <w:ilvl w:val="0"/>
          <w:numId w:val="4"/>
        </w:numPr>
        <w:ind w:left="1701" w:hanging="567"/>
        <w:rPr/>
      </w:pPr>
      <w:r>
        <w:rPr/>
        <w:t>Fan – Low</w:t>
      </w:r>
    </w:p>
    <w:p>
      <w:pPr>
        <w:pStyle w:val="Bullet-sub3"/>
        <w:numPr>
          <w:ilvl w:val="0"/>
          <w:numId w:val="4"/>
        </w:numPr>
        <w:ind w:left="1701" w:hanging="567"/>
        <w:rPr/>
      </w:pPr>
      <w:r>
        <w:rPr/>
        <w:t>Light – On</w:t>
      </w:r>
    </w:p>
    <w:p>
      <w:pPr>
        <w:pStyle w:val="Heading2"/>
        <w:rPr>
          <w:rFonts w:ascii="Arial" w:hAnsi="Arial" w:cs="Arial"/>
          <w:b w:val="false"/>
          <w:szCs w:val="22"/>
        </w:rPr>
      </w:pPr>
      <w:r>
        <w:rPr>
          <w:rFonts w:cs="Arial"/>
          <w:szCs w:val="22"/>
        </w:rPr>
        <w:t>PART 5 – Current cyber-security frameworks</w:t>
      </w:r>
    </w:p>
    <w:p>
      <w:pPr>
        <w:pStyle w:val="Normal"/>
        <w:rPr/>
      </w:pPr>
      <w:r>
        <w:rPr/>
        <w:t>Investigate the following current cyber-security frameworks and provide the information requested.</w:t>
      </w:r>
    </w:p>
    <w:p>
      <w:pPr>
        <w:pStyle w:val="Normal"/>
        <w:ind w:left="567" w:hanging="567"/>
        <w:rPr/>
      </w:pPr>
      <w:r>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Fundamentals: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ind w:left="720" w:hanging="720"/>
        <w:textAlignment w:val="baseline"/>
        <w:rPr>
          <w:rFonts w:cs="Arial"/>
          <w:szCs w:val="22"/>
        </w:rPr>
      </w:pPr>
      <w:r>
        <w:rPr>
          <w:rFonts w:cs="Arial"/>
          <w:szCs w:val="22"/>
        </w:rPr>
      </w:r>
    </w:p>
    <w:p>
      <w:pPr>
        <w:pStyle w:val="Normal"/>
        <w:ind w:left="567" w:hanging="567"/>
        <w:rPr/>
      </w:pPr>
      <w:r>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Essential Eight Strategies: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textAlignment w:val="baseline"/>
        <w:rPr>
          <w:rFonts w:cs="Arial"/>
          <w:szCs w:val="22"/>
        </w:rPr>
      </w:pPr>
      <w:r>
        <w:rPr>
          <w:rFonts w:cs="Arial"/>
          <w:szCs w:val="22"/>
        </w:rPr>
      </w:r>
    </w:p>
    <w:p>
      <w:pPr>
        <w:pStyle w:val="Normal"/>
        <w:ind w:left="567" w:hanging="567"/>
        <w:rPr/>
      </w:pPr>
      <w:r>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CIS controls: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ind w:left="720" w:hanging="720"/>
        <w:textAlignment w:val="baseline"/>
        <w:rPr>
          <w:rFonts w:cs="Arial"/>
          <w:b/>
          <w:szCs w:val="22"/>
        </w:rPr>
      </w:pPr>
      <w:r>
        <w:rPr>
          <w:rFonts w:cs="Arial"/>
          <w:b/>
          <w:szCs w:val="22"/>
        </w:rPr>
      </w:r>
    </w:p>
    <w:p>
      <w:pPr>
        <w:pStyle w:val="Normal"/>
        <w:widowControl/>
        <w:suppressAutoHyphens w:val="false"/>
        <w:spacing w:lineRule="auto" w:line="240" w:before="0" w:after="0"/>
        <w:rPr>
          <w:rFonts w:eastAsia="" w:cs="Arial" w:eastAsiaTheme="majorEastAsia"/>
          <w:b/>
          <w:bCs/>
          <w:sz w:val="26"/>
          <w:szCs w:val="22"/>
        </w:rPr>
      </w:pPr>
      <w:r>
        <w:rPr>
          <w:rFonts w:eastAsia="" w:cs="Arial" w:eastAsiaTheme="majorEastAsia"/>
          <w:b/>
          <w:bCs/>
          <w:sz w:val="26"/>
          <w:szCs w:val="22"/>
        </w:rPr>
      </w:r>
      <w:r>
        <w:br w:type="page"/>
      </w:r>
    </w:p>
    <w:p>
      <w:pPr>
        <w:pStyle w:val="Heading2"/>
        <w:rPr>
          <w:rFonts w:ascii="Arial" w:hAnsi="Arial" w:cs="Arial"/>
          <w:b w:val="false"/>
          <w:szCs w:val="22"/>
        </w:rPr>
      </w:pPr>
      <w:r>
        <w:rPr>
          <w:rFonts w:cs="Arial"/>
          <w:szCs w:val="22"/>
        </w:rPr>
        <w:t xml:space="preserve">PART 6 – Contingency task </w:t>
      </w:r>
    </w:p>
    <w:p>
      <w:pPr>
        <w:pStyle w:val="Normal"/>
        <w:ind w:left="567" w:hanging="567"/>
        <w:rPr>
          <w:rFonts w:cs="Arial"/>
        </w:rPr>
      </w:pPr>
      <w:r>
        <w:rPr>
          <w:rFonts w:cs="Arial"/>
        </w:rPr>
        <w:t>6.1</w:t>
      </w:r>
      <w:r>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24"/>
        </w:rPr>
      </w:pPr>
      <w:r>
        <w:rPr>
          <w:sz w:val="30"/>
          <w:szCs w:val="24"/>
        </w:rPr>
        <w:t>References:</w:t>
      </w:r>
    </w:p>
    <w:p>
      <w:pPr>
        <w:pStyle w:val="TextBody"/>
        <w:rPr>
          <w:rFonts w:ascii="Calibri" w:hAnsi="Calibri"/>
          <w:sz w:val="19"/>
          <w:szCs w:val="24"/>
          <w:highlight w:val="none"/>
          <w:shd w:fill="auto" w:val="clear"/>
        </w:rPr>
      </w:pPr>
      <w:r>
        <w:rPr>
          <w:rFonts w:ascii="Calibri" w:hAnsi="Calibri"/>
          <w:sz w:val="19"/>
          <w:szCs w:val="24"/>
          <w:shd w:fill="auto" w:val="clear"/>
        </w:rPr>
        <w:t xml:space="preserve">Agathoklis Prodromou (2019). </w:t>
      </w:r>
      <w:r>
        <w:rPr>
          <w:rFonts w:ascii="Calibri" w:hAnsi="Calibri"/>
          <w:i/>
          <w:sz w:val="19"/>
          <w:szCs w:val="24"/>
          <w:shd w:fill="auto" w:val="clear"/>
        </w:rPr>
        <w:t>Exploiting SQL Injection: a Hands-on Example | Acunetix</w:t>
      </w:r>
      <w:r>
        <w:rPr>
          <w:rFonts w:ascii="Calibri" w:hAnsi="Calibri"/>
          <w:sz w:val="19"/>
          <w:szCs w:val="24"/>
          <w:shd w:fill="auto" w:val="clear"/>
        </w:rPr>
        <w:t>. [online] Acunetix. Available at: https://www.acunetix.com/blog/articles/exploiting-sql-injection-example/.</w:t>
      </w:r>
    </w:p>
    <w:p>
      <w:pPr>
        <w:pStyle w:val="TextBody"/>
        <w:rPr>
          <w:sz w:val="30"/>
          <w:szCs w:val="24"/>
        </w:rPr>
      </w:pPr>
      <w:r>
        <w:rPr>
          <w:rFonts w:ascii="Calibri" w:hAnsi="Calibri"/>
          <w:sz w:val="27"/>
          <w:szCs w:val="24"/>
          <w:shd w:fill="FEF1C4" w:val="clear"/>
        </w:rPr>
        <w:t xml:space="preserve">CheckPoint (2020). What Is Phishing? </w:t>
      </w:r>
      <w:r>
        <w:rPr>
          <w:rFonts w:ascii="Calibri" w:hAnsi="Calibri"/>
          <w:i/>
          <w:sz w:val="27"/>
          <w:szCs w:val="24"/>
          <w:shd w:fill="FEF1C4" w:val="clear"/>
        </w:rPr>
        <w:t>Check Point Software</w:t>
      </w:r>
      <w:r>
        <w:rPr>
          <w:rFonts w:ascii="Calibri" w:hAnsi="Calibri"/>
          <w:sz w:val="27"/>
          <w:szCs w:val="24"/>
          <w:shd w:fill="FEF1C4" w:val="clear"/>
        </w:rPr>
        <w:t xml:space="preserve">. [online] 3 Nov. Available at: </w:t>
      </w:r>
      <w:hyperlink r:id="rId10">
        <w:r>
          <w:rPr>
            <w:rStyle w:val="InternetLink"/>
            <w:rFonts w:ascii="Calibri" w:hAnsi="Calibri"/>
            <w:sz w:val="27"/>
            <w:szCs w:val="24"/>
            <w:shd w:fill="FEF1C4" w:val="clear"/>
          </w:rPr>
          <w:t>https://www.checkpoint.com/cyber-hub/threat-prevention/what-is-phishing/</w:t>
        </w:r>
      </w:hyperlink>
      <w:hyperlink r:id="rId11">
        <w:r>
          <w:rPr>
            <w:rFonts w:ascii="Calibri" w:hAnsi="Calibri"/>
            <w:sz w:val="27"/>
            <w:szCs w:val="24"/>
            <w:shd w:fill="FEF1C4" w:val="clear"/>
          </w:rPr>
          <w:t>.</w:t>
        </w:r>
      </w:hyperlink>
    </w:p>
    <w:p>
      <w:pPr>
        <w:pStyle w:val="TextBody"/>
        <w:rPr>
          <w:sz w:val="30"/>
          <w:szCs w:val="24"/>
        </w:rPr>
      </w:pPr>
      <w:r>
        <w:rPr>
          <w:rFonts w:ascii="Calibri" w:hAnsi="Calibri"/>
          <w:color w:val="000000"/>
          <w:sz w:val="27"/>
          <w:szCs w:val="24"/>
          <w:shd w:fill="FFFFFF" w:val="clear"/>
        </w:rPr>
        <w:t xml:space="preserve">Australian Cyber Security Centre (2021). </w:t>
      </w:r>
      <w:r>
        <w:rPr>
          <w:rFonts w:ascii="Calibri" w:hAnsi="Calibri"/>
          <w:i/>
          <w:color w:val="000000"/>
          <w:sz w:val="27"/>
          <w:szCs w:val="24"/>
          <w:shd w:fill="FFFFFF" w:val="clear"/>
        </w:rPr>
        <w:t>Ransomware | Cyber.gov.au</w:t>
      </w:r>
      <w:r>
        <w:rPr>
          <w:rFonts w:ascii="Calibri" w:hAnsi="Calibri"/>
          <w:color w:val="000000"/>
          <w:sz w:val="27"/>
          <w:szCs w:val="24"/>
          <w:shd w:fill="FFFFFF" w:val="clear"/>
        </w:rPr>
        <w:t xml:space="preserve">. [online] Cyber.gov.au. Available at: </w:t>
      </w:r>
      <w:hyperlink r:id="rId12">
        <w:r>
          <w:rPr>
            <w:rStyle w:val="InternetLink"/>
            <w:rFonts w:ascii="Calibri" w:hAnsi="Calibri"/>
            <w:color w:val="000000"/>
            <w:sz w:val="27"/>
            <w:szCs w:val="24"/>
            <w:shd w:fill="FFFFFF" w:val="clear"/>
          </w:rPr>
          <w:t>https://www.cyber.gov.au/ransomware</w:t>
        </w:r>
      </w:hyperlink>
      <w:hyperlink r:id="rId13">
        <w:r>
          <w:rPr>
            <w:rFonts w:ascii="Calibri" w:hAnsi="Calibri"/>
            <w:color w:val="000000"/>
            <w:sz w:val="27"/>
            <w:szCs w:val="24"/>
            <w:shd w:fill="FFFFFF" w:val="clear"/>
          </w:rPr>
          <w:t xml:space="preserve">. </w:t>
        </w:r>
      </w:hyperlink>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zCs w:val="24"/>
          <w:shd w:fill="FFFFFF" w:val="clear"/>
        </w:rPr>
        <w:t xml:space="preserve">Korolov, M. (2020). </w:t>
      </w:r>
      <w:r>
        <w:rPr>
          <w:rFonts w:ascii="Calibri" w:hAnsi="Calibri"/>
          <w:i/>
          <w:color w:val="000000"/>
          <w:sz w:val="27"/>
          <w:szCs w:val="24"/>
          <w:shd w:fill="FFFFFF" w:val="clear"/>
        </w:rPr>
        <w:t>What is a supply chain attack? Why to be wary of third-party providers</w:t>
      </w:r>
      <w:r>
        <w:rPr>
          <w:rFonts w:ascii="Calibri" w:hAnsi="Calibri"/>
          <w:color w:val="000000"/>
          <w:sz w:val="27"/>
          <w:szCs w:val="24"/>
          <w:shd w:fill="FFFFFF" w:val="clear"/>
        </w:rPr>
        <w:t>. [online] CSO Online. Available at: https://www.csoonline.com/article/3191947/supply-chain-attacks-show-why-you-should-be-wary-of-third-party-providers.html.</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zCs w:val="24"/>
          <w:shd w:fill="FFFFFF" w:val="clear"/>
        </w:rPr>
        <w:t xml:space="preserve">Paloaltonetworks.com. (2019). </w:t>
      </w:r>
      <w:r>
        <w:rPr>
          <w:rFonts w:ascii="Calibri" w:hAnsi="Calibri"/>
          <w:i/>
          <w:color w:val="000000"/>
          <w:sz w:val="27"/>
          <w:szCs w:val="24"/>
          <w:shd w:fill="FFFFFF" w:val="clear"/>
        </w:rPr>
        <w:t>What is a Botnet? - Palo Alto Networks</w:t>
      </w:r>
      <w:r>
        <w:rPr>
          <w:rFonts w:ascii="Calibri" w:hAnsi="Calibri"/>
          <w:color w:val="000000"/>
          <w:sz w:val="27"/>
          <w:szCs w:val="24"/>
          <w:shd w:fill="FFFFFF" w:val="clear"/>
        </w:rPr>
        <w:t>. [online] Available at: https://www.paloaltonetworks.com/cyberpedia/what-is-botnet.</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zCs w:val="24"/>
          <w:shd w:fill="FFFFFF" w:val="clear"/>
        </w:rPr>
        <w:t xml:space="preserve">Malwarebytes (2020). </w:t>
      </w:r>
      <w:r>
        <w:rPr>
          <w:rFonts w:ascii="Calibri" w:hAnsi="Calibri"/>
          <w:i/>
          <w:color w:val="000000"/>
          <w:sz w:val="27"/>
          <w:szCs w:val="24"/>
          <w:shd w:fill="FFFFFF" w:val="clear"/>
        </w:rPr>
        <w:t>What is malware? Definition and how to tell if you’re infected</w:t>
      </w:r>
      <w:r>
        <w:rPr>
          <w:rFonts w:ascii="Calibri" w:hAnsi="Calibri"/>
          <w:color w:val="000000"/>
          <w:sz w:val="27"/>
          <w:szCs w:val="24"/>
          <w:shd w:fill="FFFFFF" w:val="clear"/>
        </w:rPr>
        <w:t xml:space="preserve">. [online] Malwarebytes. Available at: </w:t>
      </w:r>
      <w:hyperlink r:id="rId14">
        <w:r>
          <w:rPr>
            <w:rStyle w:val="InternetLink"/>
            <w:rFonts w:ascii="Calibri" w:hAnsi="Calibri"/>
            <w:color w:val="000000"/>
            <w:sz w:val="27"/>
            <w:szCs w:val="24"/>
            <w:shd w:fill="FFFFFF" w:val="clear"/>
          </w:rPr>
          <w:t>https://www.malwarebytes.com/malware</w:t>
        </w:r>
      </w:hyperlink>
      <w:hyperlink r:id="rId15">
        <w:r>
          <w:rPr>
            <w:rFonts w:ascii="Calibri" w:hAnsi="Calibri"/>
            <w:color w:val="000000"/>
            <w:sz w:val="27"/>
            <w:szCs w:val="24"/>
            <w:shd w:fill="FFFFFF" w:val="clear"/>
          </w:rPr>
          <w:t>.</w:t>
        </w:r>
      </w:hyperlink>
    </w:p>
    <w:p>
      <w:pPr>
        <w:pStyle w:val="TextBody"/>
        <w:rPr>
          <w:sz w:val="30"/>
          <w:szCs w:val="24"/>
        </w:rPr>
      </w:pPr>
      <w:r>
        <w:rPr>
          <w:rFonts w:ascii="Calibri" w:hAnsi="Calibri"/>
          <w:color w:val="000000"/>
          <w:sz w:val="27"/>
          <w:szCs w:val="24"/>
          <w:shd w:fill="FFFFFF" w:val="clear"/>
        </w:rPr>
      </w:r>
    </w:p>
    <w:p>
      <w:pPr>
        <w:pStyle w:val="TextBody"/>
        <w:rPr>
          <w:sz w:val="30"/>
          <w:szCs w:val="24"/>
        </w:rPr>
      </w:pPr>
      <w:r>
        <w:rPr>
          <w:color w:val="000000"/>
          <w:shd w:fill="FFFFFF" w:val="clear"/>
        </w:rPr>
        <w:t>‌</w:t>
      </w:r>
      <w:r>
        <w:rPr>
          <w:rFonts w:ascii="Calibri" w:hAnsi="Calibri"/>
          <w:color w:val="000000"/>
          <w:sz w:val="27"/>
          <w:shd w:fill="FFFFFF" w:val="clear"/>
        </w:rPr>
        <w:t xml:space="preserve">Nieles, M., Dempsey, K. and Pillitteri, V.Y. (2017). An introduction to information security. </w:t>
      </w:r>
      <w:r>
        <w:rPr>
          <w:rFonts w:ascii="Calibri" w:hAnsi="Calibri"/>
          <w:i/>
          <w:color w:val="000000"/>
          <w:sz w:val="27"/>
          <w:shd w:fill="FFFFFF" w:val="clear"/>
        </w:rPr>
        <w:t>An Introduction to Information Security</w:t>
      </w:r>
      <w:r>
        <w:rPr>
          <w:rFonts w:ascii="Calibri" w:hAnsi="Calibri"/>
          <w:color w:val="000000"/>
          <w:sz w:val="27"/>
          <w:shd w:fill="FFFFFF" w:val="clear"/>
        </w:rPr>
        <w:t>. [online] doi:https://doi.org/10.6028/nist.sp.800-12r1.</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hd w:fill="FFFFFF" w:val="clear"/>
        </w:rPr>
        <w:t xml:space="preserve">Kaspersky (2021). </w:t>
      </w:r>
      <w:r>
        <w:rPr>
          <w:rFonts w:ascii="Calibri" w:hAnsi="Calibri"/>
          <w:i/>
          <w:color w:val="000000"/>
          <w:sz w:val="27"/>
          <w:shd w:fill="FFFFFF" w:val="clear"/>
        </w:rPr>
        <w:t>What is Rootkit – Definition and Explanation</w:t>
      </w:r>
      <w:r>
        <w:rPr>
          <w:rFonts w:ascii="Calibri" w:hAnsi="Calibri"/>
          <w:color w:val="000000"/>
          <w:sz w:val="27"/>
          <w:shd w:fill="FFFFFF" w:val="clear"/>
        </w:rPr>
        <w:t>. [online] www.kaspersky.com. Available at: https://www.kaspersky.com/resource-center/definitions/what-is-rootkit.</w:t>
      </w:r>
    </w:p>
    <w:p>
      <w:pPr>
        <w:pStyle w:val="TextBody"/>
        <w:rPr>
          <w:sz w:val="30"/>
          <w:szCs w:val="24"/>
        </w:rPr>
      </w:pPr>
      <w:r>
        <w:rPr>
          <w:color w:val="000000"/>
          <w:shd w:fill="FFFFFF" w:val="clear"/>
        </w:rPr>
        <w:t>‌</w:t>
      </w:r>
    </w:p>
    <w:p>
      <w:pPr>
        <w:pStyle w:val="TextBody"/>
        <w:rPr>
          <w:sz w:val="30"/>
          <w:szCs w:val="24"/>
        </w:rPr>
      </w:pPr>
      <w:r>
        <w:rPr>
          <w:color w:val="000000"/>
          <w:shd w:fill="FFFFFF" w:val="clear"/>
        </w:rPr>
      </w:r>
    </w:p>
    <w:p>
      <w:pPr>
        <w:pStyle w:val="TextBody"/>
        <w:rPr>
          <w:sz w:val="30"/>
          <w:szCs w:val="24"/>
        </w:rPr>
      </w:pPr>
      <w:r>
        <w:rPr>
          <w:rFonts w:ascii="Calibri" w:hAnsi="Calibri"/>
          <w:sz w:val="27"/>
          <w:szCs w:val="24"/>
          <w:shd w:fill="FEF1C4" w:val="clear"/>
        </w:rPr>
      </w:r>
    </w:p>
    <w:p>
      <w:pPr>
        <w:pStyle w:val="Quotations"/>
        <w:rPr>
          <w:sz w:val="30"/>
          <w:szCs w:val="24"/>
        </w:rPr>
      </w:pPr>
      <w:r>
        <w:rPr>
          <w:sz w:val="30"/>
          <w:szCs w:val="24"/>
        </w:rPr>
      </w:r>
    </w:p>
    <w:p>
      <w:pPr>
        <w:pStyle w:val="Normal"/>
        <w:rPr/>
      </w:pPr>
      <w:r>
        <w:rPr/>
      </w:r>
    </w:p>
    <w:p>
      <w:pPr>
        <w:pStyle w:val="Bullet-main"/>
        <w:numPr>
          <w:ilvl w:val="0"/>
          <w:numId w:val="0"/>
        </w:numPr>
        <w:spacing w:before="120" w:after="120"/>
        <w:ind w:left="567" w:hanging="567"/>
        <w:jc w:val="center"/>
        <w:rPr/>
      </w:pPr>
      <w:r>
        <w:rPr>
          <w:rFonts w:eastAsia="Times New Roman" w:cs="Arial" w:cstheme="minorHAnsi"/>
          <w:b/>
        </w:rPr>
        <w:t>End of Assessment</w:t>
      </w:r>
    </w:p>
    <w:sectPr>
      <w:headerReference w:type="default" r:id="rId16"/>
      <w:headerReference w:type="first" r:id="rId17"/>
      <w:footerReference w:type="default" r:id="rId18"/>
      <w:footerReference w:type="first" r:id="rId19"/>
      <w:type w:val="nextPage"/>
      <w:pgSz w:w="11906" w:h="16838"/>
      <w:pgMar w:left="851" w:right="851" w:gutter="0" w:header="568" w:top="851" w:footer="709" w:bottom="85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Palatino">
    <w:charset w:val="00"/>
    <w:family w:val="roman"/>
    <w:pitch w:val="variable"/>
  </w:font>
  <w:font w:name="Calibri">
    <w:charset w:val="00"/>
    <w:family w:val="roman"/>
    <w:pitch w:val="variable"/>
  </w:font>
  <w:font w:name="Calibri">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18</w:t>
    </w:r>
    <w:r>
      <w:rPr>
        <w:sz w:val="18"/>
        <w:szCs w:val="18"/>
        <w:rFonts w:cs="Arial"/>
      </w:rPr>
      <w:fldChar w:fldCharType="end"/>
    </w:r>
    <w:r>
      <w:rPr>
        <w:rFonts w:cs="Arial" w:cstheme="minorHAnsi"/>
        <w:sz w:val="18"/>
        <w:szCs w:val="1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w:t>
    </w:r>
    <w:r>
      <w:rPr>
        <w:sz w:val="18"/>
        <w:szCs w:val="18"/>
        <w:rFonts w:cs="Arial"/>
      </w:rPr>
      <w:fldChar w:fldCharType="end"/>
    </w:r>
    <w:r>
      <w:rPr>
        <w:rFonts w:cs="Arial" w:cstheme="minorHAnsi"/>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Fonts w:eastAsia="Times New Roman" w:cs="Arial"/>
        <w:bCs/>
        <w:color w:val="1F497D"/>
        <w:kern w:val="2"/>
        <w:szCs w:val="28"/>
        <w:lang w:eastAsia="en-AU" w:bidi="ar-SA"/>
      </w:rPr>
      <w:fldChar w:fldCharType="begin"/>
    </w:r>
    <w:r>
      <w:rPr>
        <w:kern w:val="2"/>
        <w:szCs w:val="28"/>
        <w:bCs/>
        <w:rFonts w:eastAsia="Times New Roman" w:cs="Arial"/>
        <w:color w:val="1F497D"/>
        <w:lang w:eastAsia="en-AU" w:bidi="ar-SA"/>
      </w:rPr>
      <w:instrText xml:space="preserve"> FILENAME </w:instrText>
    </w:r>
    <w:r>
      <w:rPr>
        <w:kern w:val="2"/>
        <w:szCs w:val="28"/>
        <w:bCs/>
        <w:rFonts w:eastAsia="Times New Roman" w:cs="Arial"/>
        <w:color w:val="1F497D"/>
        <w:lang w:eastAsia="en-AU" w:bidi="ar-SA"/>
      </w:rPr>
      <w:fldChar w:fldCharType="separate"/>
    </w:r>
    <w:r>
      <w:rPr>
        <w:kern w:val="2"/>
        <w:szCs w:val="28"/>
        <w:bCs/>
        <w:rFonts w:eastAsia="Times New Roman" w:cs="Arial"/>
        <w:color w:val="1F497D"/>
        <w:lang w:eastAsia="en-AU" w:bidi="ar-SA"/>
      </w:rPr>
      <w:t>VU23217_AT2_PE_TQM_v1.docx</w:t>
    </w:r>
    <w:r>
      <w:rPr>
        <w:kern w:val="2"/>
        <w:szCs w:val="28"/>
        <w:bCs/>
        <w:rFonts w:eastAsia="Times New Roman" w:cs="Arial"/>
        <w:color w:val="1F497D"/>
        <w:lang w:eastAsia="en-AU" w:bidi="ar-SA"/>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7856"/>
      <w:gridCol w:w="2347"/>
    </w:tblGrid>
    <w:tr>
      <w:trPr>
        <w:trHeight w:val="137" w:hRule="atLeast"/>
      </w:trPr>
      <w:tc>
        <w:tcPr>
          <w:tcW w:w="10203" w:type="dxa"/>
          <w:gridSpan w:val="2"/>
          <w:tcBorders/>
          <w:shd w:color="auto" w:fill="C4262E" w:val="clear"/>
          <w:vAlign w:val="bottom"/>
        </w:tcPr>
        <w:p>
          <w:pPr>
            <w:pStyle w:val="Redbanner"/>
            <w:widowControl w:val="false"/>
            <w:rPr/>
          </w:pPr>
          <w:r>
            <w:rPr/>
          </w:r>
        </w:p>
      </w:tc>
    </w:tr>
    <w:tr>
      <w:trPr/>
      <w:tc>
        <w:tcPr>
          <w:tcW w:w="7856" w:type="dxa"/>
          <w:tcBorders/>
          <w:shd w:color="auto" w:fill="auto" w:val="clear"/>
          <w:vAlign w:val="center"/>
        </w:tcPr>
        <w:p>
          <w:pPr>
            <w:pStyle w:val="Normal"/>
            <w:keepNext w:val="true"/>
            <w:widowControl w:val="false"/>
            <w:numPr>
              <w:ilvl w:val="0"/>
              <w:numId w:val="0"/>
            </w:numPr>
            <w:suppressAutoHyphens w:val="false"/>
            <w:spacing w:before="120" w:after="120"/>
            <w:ind w:left="0" w:hanging="0"/>
            <w:outlineLvl w:val="0"/>
            <w:rPr>
              <w:rFonts w:eastAsia="Times New Roman" w:cs="Arial"/>
              <w:b/>
              <w:bCs/>
              <w:color w:val="000000"/>
              <w:kern w:val="2"/>
              <w:sz w:val="50"/>
              <w:szCs w:val="32"/>
              <w:lang w:eastAsia="en-AU" w:bidi="ar-SA"/>
            </w:rPr>
          </w:pPr>
          <w:r>
            <w:rPr>
              <w:rFonts w:eastAsia="Times New Roman" w:cs="Arial"/>
              <w:b/>
              <w:bCs/>
              <w:color w:val="000000"/>
              <w:kern w:val="2"/>
              <w:sz w:val="50"/>
              <w:szCs w:val="32"/>
              <w:lang w:eastAsia="en-AU" w:bidi="ar-SA"/>
            </w:rPr>
            <w:t xml:space="preserve">Assessment Task </w:t>
            <w:br/>
            <w:t>Portfolio of Evidence</w:t>
          </w:r>
        </w:p>
        <w:p>
          <w:pPr>
            <w:pStyle w:val="Normal"/>
            <w:keepNext w:val="true"/>
            <w:widowControl w:val="false"/>
            <w:numPr>
              <w:ilvl w:val="0"/>
              <w:numId w:val="0"/>
            </w:numPr>
            <w:suppressAutoHyphens w:val="false"/>
            <w:spacing w:before="120" w:after="120"/>
            <w:ind w:left="0" w:hanging="0"/>
            <w:outlineLvl w:val="0"/>
            <w:rPr/>
          </w:pPr>
          <w:r>
            <w:rPr>
              <w:rFonts w:eastAsia="Times New Roman" w:cs="Arial"/>
              <w:bCs/>
              <w:color w:val="1F497D"/>
              <w:kern w:val="2"/>
              <w:sz w:val="20"/>
              <w:szCs w:val="28"/>
              <w:lang w:eastAsia="en-AU" w:bidi="ar-SA"/>
            </w:rPr>
            <w:fldChar w:fldCharType="begin"/>
          </w:r>
          <w:r>
            <w:rPr>
              <w:sz w:val="20"/>
              <w:kern w:val="2"/>
              <w:szCs w:val="28"/>
              <w:bCs/>
              <w:rFonts w:eastAsia="Times New Roman" w:cs="Arial"/>
              <w:color w:val="1F497D"/>
              <w:lang w:eastAsia="en-AU" w:bidi="ar-SA"/>
            </w:rPr>
            <w:instrText xml:space="preserve"> FILENAME </w:instrText>
          </w:r>
          <w:r>
            <w:rPr>
              <w:sz w:val="20"/>
              <w:kern w:val="2"/>
              <w:szCs w:val="28"/>
              <w:bCs/>
              <w:rFonts w:eastAsia="Times New Roman" w:cs="Arial"/>
              <w:color w:val="1F497D"/>
              <w:lang w:eastAsia="en-AU" w:bidi="ar-SA"/>
            </w:rPr>
            <w:fldChar w:fldCharType="separate"/>
          </w:r>
          <w:r>
            <w:rPr>
              <w:sz w:val="20"/>
              <w:kern w:val="2"/>
              <w:szCs w:val="28"/>
              <w:bCs/>
              <w:rFonts w:eastAsia="Times New Roman" w:cs="Arial"/>
              <w:color w:val="1F497D"/>
              <w:lang w:eastAsia="en-AU" w:bidi="ar-SA"/>
            </w:rPr>
            <w:t>VU23217_AT2_PE_TQM_v1.docx</w:t>
          </w:r>
          <w:r>
            <w:rPr>
              <w:sz w:val="20"/>
              <w:kern w:val="2"/>
              <w:szCs w:val="28"/>
              <w:bCs/>
              <w:rFonts w:eastAsia="Times New Roman" w:cs="Arial"/>
              <w:color w:val="1F497D"/>
              <w:lang w:eastAsia="en-AU" w:bidi="ar-SA"/>
            </w:rPr>
            <w:fldChar w:fldCharType="end"/>
          </w:r>
        </w:p>
      </w:tc>
      <w:tc>
        <w:tcPr>
          <w:tcW w:w="2347" w:type="dxa"/>
          <w:tcBorders/>
          <w:shd w:color="auto" w:fill="auto" w:val="clear"/>
          <w:vAlign w:val="center"/>
        </w:tcPr>
        <w:p>
          <w:pPr>
            <w:pStyle w:val="Normal"/>
            <w:widowControl w:val="false"/>
            <w:suppressAutoHyphens w:val="false"/>
            <w:spacing w:before="120" w:after="120"/>
            <w:jc w:val="center"/>
            <w:rPr>
              <w:rFonts w:eastAsia="Times New Roman" w:cs="Times New Roman"/>
              <w:color w:val="595959"/>
              <w:kern w:val="0"/>
              <w:sz w:val="20"/>
              <w:lang w:eastAsia="en-AU" w:bidi="ar-SA"/>
            </w:rPr>
          </w:pPr>
          <w:r>
            <w:rPr/>
            <w:drawing>
              <wp:inline distT="0" distB="0" distL="0" distR="0">
                <wp:extent cx="1078230" cy="1078230"/>
                <wp:effectExtent l="0" t="0" r="0" b="0"/>
                <wp:docPr id="5" name="Picture 3" descr="TAFE QLD 2014_mast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TAFE QLD 2014_master_RGB"/>
                        <pic:cNvPicPr>
                          <a:picLocks noChangeAspect="1" noChangeArrowheads="1"/>
                        </pic:cNvPicPr>
                      </pic:nvPicPr>
                      <pic:blipFill>
                        <a:blip r:embed="rId1"/>
                        <a:stretch>
                          <a:fillRect/>
                        </a:stretch>
                      </pic:blipFill>
                      <pic:spPr bwMode="auto">
                        <a:xfrm>
                          <a:off x="0" y="0"/>
                          <a:ext cx="1078230" cy="1078230"/>
                        </a:xfrm>
                        <a:prstGeom prst="rect">
                          <a:avLst/>
                        </a:prstGeom>
                      </pic:spPr>
                    </pic:pic>
                  </a:graphicData>
                </a:graphic>
              </wp:inline>
            </w:drawing>
          </w:r>
        </w:p>
      </w:tc>
    </w:tr>
    <w:tr>
      <w:trPr>
        <w:trHeight w:val="137" w:hRule="atLeast"/>
      </w:trPr>
      <w:tc>
        <w:tcPr>
          <w:tcW w:w="10203" w:type="dxa"/>
          <w:gridSpan w:val="2"/>
          <w:tcBorders/>
          <w:shd w:color="auto" w:fill="C4262E" w:val="clear"/>
          <w:vAlign w:val="bottom"/>
        </w:tcPr>
        <w:p>
          <w:pPr>
            <w:pStyle w:val="Redbanner"/>
            <w:widowControl w:val="false"/>
            <w:jc w:val="left"/>
            <w:rPr/>
          </w:pPr>
          <w:r>
            <w:rPr/>
          </w:r>
        </w:p>
      </w:tc>
    </w:tr>
  </w:tbl>
  <w:p>
    <w:pPr>
      <w:pStyle w:val="Header"/>
      <w:spacing w:before="120" w:after="120"/>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þ"/>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9">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0">
    <w:lvl w:ilvl="0">
      <w:start w:val="2"/>
      <w:numFmt w:val="decimal"/>
      <w:lvlText w:val="%1"/>
      <w:lvlJc w:val="left"/>
      <w:pPr>
        <w:tabs>
          <w:tab w:val="num" w:pos="0"/>
        </w:tabs>
        <w:ind w:left="360" w:hanging="360"/>
      </w:pPr>
      <w:rPr/>
    </w:lvl>
    <w:lvl w:ilvl="1">
      <w:start w:val="1"/>
      <w:numFmt w:val="decimal"/>
      <w:lvlText w:val="%1.%2"/>
      <w:lvlJc w:val="left"/>
      <w:pPr>
        <w:tabs>
          <w:tab w:val="num" w:pos="0"/>
        </w:tabs>
        <w:ind w:left="1211"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Times New Roman" w:eastAsia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27ce"/>
    <w:pPr>
      <w:widowControl w:val="false"/>
      <w:suppressAutoHyphens w:val="true"/>
      <w:bidi w:val="0"/>
      <w:spacing w:lineRule="auto" w:line="300" w:before="120" w:after="120"/>
      <w:jc w:val="left"/>
    </w:pPr>
    <w:rPr>
      <w:rFonts w:ascii="Arial" w:hAnsi="Arial" w:eastAsia="SimSun" w:cs="Mangal"/>
      <w:color w:val="auto"/>
      <w:kern w:val="2"/>
      <w:sz w:val="22"/>
      <w:szCs w:val="24"/>
      <w:lang w:val="en-AU" w:eastAsia="hi-IN" w:bidi="hi-IN"/>
    </w:rPr>
  </w:style>
  <w:style w:type="paragraph" w:styleId="Heading1">
    <w:name w:val="Heading 1"/>
    <w:basedOn w:val="Normal"/>
    <w:next w:val="Normal"/>
    <w:link w:val="Heading1Char"/>
    <w:qFormat/>
    <w:rsid w:val="00c934f3"/>
    <w:pPr>
      <w:keepNext w:val="true"/>
      <w:keepLines/>
      <w:spacing w:before="480" w:after="120"/>
      <w:outlineLvl w:val="0"/>
    </w:pPr>
    <w:rPr>
      <w:rFonts w:ascii="Arial" w:hAnsi="Arial" w:eastAsia=""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val="true"/>
      <w:keepLines/>
      <w:spacing w:before="200" w:after="120"/>
      <w:outlineLvl w:val="1"/>
    </w:pPr>
    <w:rPr>
      <w:rFonts w:ascii="Arial" w:hAnsi="Arial" w:eastAsia=""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val="true"/>
      <w:keepLines/>
      <w:spacing w:before="200" w:after="0"/>
      <w:outlineLvl w:val="2"/>
    </w:pPr>
    <w:rPr>
      <w:rFonts w:ascii="Arial" w:hAnsi="Arial" w:eastAsia=""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val="true"/>
      <w:keepLines/>
      <w:spacing w:before="200" w:after="0"/>
      <w:outlineLvl w:val="3"/>
    </w:pPr>
    <w:rPr>
      <w:rFonts w:ascii="Arial" w:hAnsi="Arial" w:eastAsia=""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val="true"/>
      <w:keepLines/>
      <w:spacing w:before="200" w:after="120"/>
      <w:outlineLvl w:val="4"/>
    </w:pPr>
    <w:rPr>
      <w:rFonts w:ascii="Arial" w:hAnsi="Arial" w:eastAsia=""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val="true"/>
      <w:keepLines/>
      <w:spacing w:before="200" w:after="120"/>
      <w:outlineLvl w:val="5"/>
    </w:pPr>
    <w:rPr>
      <w:rFonts w:ascii="Arial" w:hAnsi="Arial" w:eastAsia="" w:asciiTheme="majorHAnsi" w:eastAsiaTheme="majorEastAsia" w:hAnsiTheme="majorHAnsi"/>
      <w:i/>
      <w:iCs/>
      <w:color w:val="243F60" w:themeColor="accent1" w:themeShade="7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934f3"/>
    <w:rPr>
      <w:rFonts w:ascii="Arial" w:hAnsi="Arial" w:eastAsia="" w:cs="Mangal" w:asciiTheme="majorHAnsi" w:eastAsiaTheme="majorEastAsia" w:hAnsiTheme="majorHAnsi"/>
      <w:b/>
      <w:bCs/>
      <w:kern w:val="2"/>
      <w:sz w:val="28"/>
      <w:szCs w:val="25"/>
      <w:lang w:eastAsia="hi-IN" w:bidi="hi-IN"/>
    </w:rPr>
  </w:style>
  <w:style w:type="character" w:styleId="Heading5Char" w:customStyle="1">
    <w:name w:val="Heading 5 Char"/>
    <w:basedOn w:val="DefaultParagraphFont"/>
    <w:link w:val="Heading5"/>
    <w:uiPriority w:val="9"/>
    <w:semiHidden/>
    <w:qFormat/>
    <w:rsid w:val="0051557e"/>
    <w:rPr>
      <w:rFonts w:ascii="Arial" w:hAnsi="Arial" w:eastAsia="" w:cs="Mangal" w:asciiTheme="majorHAnsi" w:eastAsiaTheme="majorEastAsia" w:hAnsiTheme="majorHAnsi"/>
      <w:color w:val="243F60" w:themeColor="accent1" w:themeShade="7f"/>
      <w:kern w:val="2"/>
      <w:sz w:val="24"/>
      <w:szCs w:val="21"/>
      <w:lang w:eastAsia="hi-IN" w:bidi="hi-IN"/>
    </w:rPr>
  </w:style>
  <w:style w:type="character" w:styleId="Heading6Char" w:customStyle="1">
    <w:name w:val="Heading 6 Char"/>
    <w:basedOn w:val="DefaultParagraphFont"/>
    <w:link w:val="Heading6"/>
    <w:uiPriority w:val="9"/>
    <w:semiHidden/>
    <w:qFormat/>
    <w:rsid w:val="0051557e"/>
    <w:rPr>
      <w:rFonts w:ascii="Arial" w:hAnsi="Arial" w:eastAsia="" w:cs="Mangal" w:asciiTheme="majorHAnsi" w:eastAsiaTheme="majorEastAsia" w:hAnsiTheme="majorHAnsi"/>
      <w:i/>
      <w:iCs/>
      <w:color w:val="243F60" w:themeColor="accent1" w:themeShade="7f"/>
      <w:kern w:val="2"/>
      <w:sz w:val="24"/>
      <w:szCs w:val="21"/>
      <w:lang w:eastAsia="hi-IN" w:bidi="hi-IN"/>
    </w:rPr>
  </w:style>
  <w:style w:type="character" w:styleId="TitleChar" w:customStyle="1">
    <w:name w:val="Title Char"/>
    <w:basedOn w:val="DefaultParagraphFont"/>
    <w:link w:val="Title"/>
    <w:uiPriority w:val="10"/>
    <w:qFormat/>
    <w:rsid w:val="0051557e"/>
    <w:rPr>
      <w:rFonts w:ascii="Arial" w:hAnsi="Arial" w:eastAsia="" w:cs="Mangal" w:asciiTheme="majorHAnsi" w:eastAsiaTheme="majorEastAsia" w:hAnsiTheme="majorHAnsi"/>
      <w:color w:val="17365D" w:themeColor="text2" w:themeShade="bf"/>
      <w:spacing w:val="5"/>
      <w:kern w:val="2"/>
      <w:sz w:val="52"/>
      <w:szCs w:val="47"/>
      <w:lang w:eastAsia="hi-IN" w:bidi="hi-IN"/>
    </w:rPr>
  </w:style>
  <w:style w:type="character" w:styleId="SubtitleChar" w:customStyle="1">
    <w:name w:val="Subtitle Char"/>
    <w:basedOn w:val="DefaultParagraphFont"/>
    <w:link w:val="Subtitle"/>
    <w:uiPriority w:val="11"/>
    <w:qFormat/>
    <w:rsid w:val="0051557e"/>
    <w:rPr>
      <w:rFonts w:ascii="Arial" w:hAnsi="Arial" w:eastAsia="" w:cs="Mangal" w:asciiTheme="majorHAnsi" w:eastAsiaTheme="majorEastAsia" w:hAnsiTheme="majorHAnsi"/>
      <w:i/>
      <w:iCs/>
      <w:color w:val="4F81BD" w:themeColor="accent1"/>
      <w:spacing w:val="15"/>
      <w:kern w:val="2"/>
      <w:sz w:val="24"/>
      <w:szCs w:val="21"/>
      <w:lang w:eastAsia="hi-IN" w:bidi="hi-IN"/>
    </w:rPr>
  </w:style>
  <w:style w:type="character" w:styleId="Strong">
    <w:name w:val="Strong"/>
    <w:basedOn w:val="DefaultParagraphFont"/>
    <w:uiPriority w:val="22"/>
    <w:qFormat/>
    <w:rsid w:val="0051557e"/>
    <w:rPr>
      <w:b/>
      <w:bCs/>
    </w:rPr>
  </w:style>
  <w:style w:type="character" w:styleId="HeaderChar" w:customStyle="1">
    <w:name w:val="Header Char"/>
    <w:basedOn w:val="DefaultParagraphFont"/>
    <w:link w:val="Header"/>
    <w:uiPriority w:val="99"/>
    <w:qFormat/>
    <w:rsid w:val="00ce01ca"/>
    <w:rPr>
      <w:rFonts w:ascii="Arial" w:hAnsi="Arial" w:eastAsia="SimSun" w:cs="Mangal"/>
      <w:kern w:val="2"/>
      <w:sz w:val="16"/>
      <w:szCs w:val="21"/>
      <w:lang w:eastAsia="hi-IN" w:bidi="hi-IN"/>
    </w:rPr>
  </w:style>
  <w:style w:type="character" w:styleId="FooterChar" w:customStyle="1">
    <w:name w:val="Footer Char"/>
    <w:basedOn w:val="DefaultParagraphFont"/>
    <w:link w:val="Footer"/>
    <w:uiPriority w:val="99"/>
    <w:qFormat/>
    <w:rsid w:val="00ce01ca"/>
    <w:rPr>
      <w:rFonts w:ascii="Arial" w:hAnsi="Arial" w:eastAsia="SimSun" w:cs="Mangal"/>
      <w:kern w:val="2"/>
      <w:sz w:val="16"/>
      <w:szCs w:val="21"/>
      <w:lang w:eastAsia="hi-IN" w:bidi="hi-IN"/>
    </w:rPr>
  </w:style>
  <w:style w:type="character" w:styleId="BalloonTextChar" w:customStyle="1">
    <w:name w:val="Balloon Text Char"/>
    <w:basedOn w:val="DefaultParagraphFont"/>
    <w:link w:val="BalloonText"/>
    <w:uiPriority w:val="99"/>
    <w:semiHidden/>
    <w:qFormat/>
    <w:rsid w:val="007026c1"/>
    <w:rPr>
      <w:rFonts w:ascii="Tahoma" w:hAnsi="Tahoma" w:eastAsia="SimSun" w:cs="Mangal"/>
      <w:kern w:val="2"/>
      <w:sz w:val="16"/>
      <w:szCs w:val="14"/>
      <w:lang w:eastAsia="hi-IN" w:bidi="hi-IN"/>
    </w:rPr>
  </w:style>
  <w:style w:type="character" w:styleId="NormalWebChar" w:customStyle="1">
    <w:name w:val="Normal (Web) Char"/>
    <w:link w:val="NormalWeb"/>
    <w:qFormat/>
    <w:rsid w:val="0096502e"/>
    <w:rPr>
      <w:rFonts w:eastAsia="Times New Roman"/>
      <w:sz w:val="24"/>
      <w:szCs w:val="24"/>
      <w:lang w:eastAsia="en-AU"/>
    </w:rPr>
  </w:style>
  <w:style w:type="character" w:styleId="Heading2Char" w:customStyle="1">
    <w:name w:val="Heading 2 Char"/>
    <w:basedOn w:val="DefaultParagraphFont"/>
    <w:link w:val="Heading2"/>
    <w:uiPriority w:val="9"/>
    <w:qFormat/>
    <w:rsid w:val="00c934f3"/>
    <w:rPr>
      <w:rFonts w:ascii="Arial" w:hAnsi="Arial" w:eastAsia="" w:cs="Mangal" w:asciiTheme="majorHAnsi" w:eastAsiaTheme="majorEastAsia" w:hAnsiTheme="majorHAnsi"/>
      <w:b/>
      <w:bCs/>
      <w:kern w:val="2"/>
      <w:sz w:val="26"/>
      <w:szCs w:val="23"/>
      <w:lang w:eastAsia="hi-IN" w:bidi="hi-IN"/>
    </w:rPr>
  </w:style>
  <w:style w:type="character" w:styleId="Annotationreference">
    <w:name w:val="annotation reference"/>
    <w:basedOn w:val="DefaultParagraphFont"/>
    <w:uiPriority w:val="99"/>
    <w:semiHidden/>
    <w:unhideWhenUsed/>
    <w:qFormat/>
    <w:rsid w:val="0023672d"/>
    <w:rPr>
      <w:sz w:val="16"/>
      <w:szCs w:val="16"/>
    </w:rPr>
  </w:style>
  <w:style w:type="character" w:styleId="CommentTextChar" w:customStyle="1">
    <w:name w:val="Comment Text Char"/>
    <w:basedOn w:val="DefaultParagraphFont"/>
    <w:link w:val="Annotationtext"/>
    <w:uiPriority w:val="99"/>
    <w:semiHidden/>
    <w:qFormat/>
    <w:rsid w:val="0023672d"/>
    <w:rPr>
      <w:rFonts w:eastAsia="SimSun" w:cs="Mangal"/>
      <w:kern w:val="2"/>
      <w:szCs w:val="18"/>
      <w:lang w:eastAsia="hi-IN" w:bidi="hi-IN"/>
    </w:rPr>
  </w:style>
  <w:style w:type="character" w:styleId="CommentSubjectChar" w:customStyle="1">
    <w:name w:val="Comment Subject Char"/>
    <w:basedOn w:val="CommentTextChar"/>
    <w:link w:val="Annotationsubject"/>
    <w:uiPriority w:val="99"/>
    <w:semiHidden/>
    <w:qFormat/>
    <w:rsid w:val="0023672d"/>
    <w:rPr>
      <w:rFonts w:eastAsia="SimSun" w:cs="Mangal"/>
      <w:b/>
      <w:bCs/>
      <w:kern w:val="2"/>
      <w:szCs w:val="18"/>
      <w:lang w:eastAsia="hi-IN" w:bidi="hi-IN"/>
    </w:rPr>
  </w:style>
  <w:style w:type="character" w:styleId="InternetLink">
    <w:name w:val="Hyperlink"/>
    <w:rsid w:val="00a96b81"/>
    <w:rPr>
      <w:color w:val="0000FF"/>
      <w:u w:val="single"/>
    </w:rPr>
  </w:style>
  <w:style w:type="character" w:styleId="Heading3Char" w:customStyle="1">
    <w:name w:val="Heading 3 Char"/>
    <w:basedOn w:val="DefaultParagraphFont"/>
    <w:link w:val="Heading3"/>
    <w:uiPriority w:val="9"/>
    <w:qFormat/>
    <w:rsid w:val="003727ce"/>
    <w:rPr>
      <w:rFonts w:ascii="Arial" w:hAnsi="Arial" w:eastAsia="" w:cs="Mangal" w:asciiTheme="majorHAnsi" w:eastAsiaTheme="majorEastAsia" w:hAnsiTheme="majorHAnsi"/>
      <w:b/>
      <w:bCs/>
      <w:kern w:val="2"/>
      <w:sz w:val="22"/>
      <w:szCs w:val="24"/>
      <w:lang w:eastAsia="hi-IN" w:bidi="hi-IN"/>
    </w:rPr>
  </w:style>
  <w:style w:type="character" w:styleId="SourcereferencetextChar" w:customStyle="1">
    <w:name w:val="Source reference text Char"/>
    <w:link w:val="Sourcereferencetext"/>
    <w:uiPriority w:val="8"/>
    <w:qFormat/>
    <w:rsid w:val="00ce01ca"/>
    <w:rPr>
      <w:rFonts w:ascii="Arial" w:hAnsi="Arial" w:eastAsia="Calibri" w:cs="Helvetica"/>
      <w:bCs/>
      <w:sz w:val="16"/>
      <w:szCs w:val="16"/>
    </w:rPr>
  </w:style>
  <w:style w:type="character" w:styleId="Heading4Char" w:customStyle="1">
    <w:name w:val="Heading 4 Char"/>
    <w:basedOn w:val="DefaultParagraphFont"/>
    <w:link w:val="Heading4"/>
    <w:uiPriority w:val="9"/>
    <w:semiHidden/>
    <w:qFormat/>
    <w:rsid w:val="003727ce"/>
    <w:rPr>
      <w:rFonts w:ascii="Arial" w:hAnsi="Arial" w:eastAsia="" w:cs="Mangal" w:asciiTheme="majorHAnsi" w:eastAsiaTheme="majorEastAsia" w:hAnsiTheme="majorHAnsi"/>
      <w:b/>
      <w:bCs/>
      <w:i/>
      <w:iCs/>
      <w:kern w:val="2"/>
      <w:sz w:val="22"/>
      <w:szCs w:val="24"/>
      <w:lang w:eastAsia="hi-IN" w:bidi="hi-IN"/>
    </w:rPr>
  </w:style>
  <w:style w:type="character" w:styleId="ListParagraphChar" w:customStyle="1">
    <w:name w:val="List Paragraph Char"/>
    <w:link w:val="ListParagraph"/>
    <w:uiPriority w:val="34"/>
    <w:qFormat/>
    <w:rsid w:val="001c5a42"/>
    <w:rPr>
      <w:rFonts w:ascii="Arial" w:hAnsi="Arial" w:eastAsia="SimSun" w:cs="Mangal"/>
      <w:kern w:val="2"/>
      <w:sz w:val="22"/>
      <w:szCs w:val="21"/>
      <w:lang w:eastAsia="hi-I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unhideWhenUsed/>
    <w:qFormat/>
    <w:rsid w:val="0051557e"/>
    <w:pPr>
      <w:spacing w:before="120" w:after="100"/>
    </w:pPr>
    <w:rPr>
      <w:szCs w:val="21"/>
    </w:rPr>
  </w:style>
  <w:style w:type="paragraph" w:styleId="Contents2">
    <w:name w:val="TOC 2"/>
    <w:basedOn w:val="Normal"/>
    <w:next w:val="Normal"/>
    <w:autoRedefine/>
    <w:uiPriority w:val="39"/>
    <w:semiHidden/>
    <w:unhideWhenUsed/>
    <w:qFormat/>
    <w:rsid w:val="0051557e"/>
    <w:pPr>
      <w:widowControl/>
      <w:suppressAutoHyphens w:val="false"/>
      <w:spacing w:lineRule="auto" w:line="276" w:before="120" w:after="100"/>
      <w:ind w:left="220" w:hanging="0"/>
    </w:pPr>
    <w:rPr>
      <w:rFonts w:ascii="Arial" w:hAnsi="Arial" w:eastAsia="" w:cs="" w:asciiTheme="minorHAnsi" w:cstheme="minorBidi" w:eastAsiaTheme="minorEastAsia" w:hAnsiTheme="minorHAnsi"/>
      <w:kern w:val="0"/>
      <w:szCs w:val="22"/>
      <w:lang w:val="en-US" w:eastAsia="ja-JP" w:bidi="ar-SA"/>
    </w:rPr>
  </w:style>
  <w:style w:type="paragraph" w:styleId="Contents3">
    <w:name w:val="TOC 3"/>
    <w:basedOn w:val="Normal"/>
    <w:next w:val="Normal"/>
    <w:autoRedefine/>
    <w:uiPriority w:val="39"/>
    <w:unhideWhenUsed/>
    <w:qFormat/>
    <w:rsid w:val="0051557e"/>
    <w:pPr>
      <w:spacing w:before="120" w:after="100"/>
      <w:ind w:left="480" w:hanging="0"/>
    </w:pPr>
    <w:rPr>
      <w:szCs w:val="21"/>
    </w:rPr>
  </w:style>
  <w:style w:type="paragraph" w:styleId="Caption1">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pBdr>
      <w:spacing w:before="120" w:after="300"/>
      <w:contextualSpacing/>
    </w:pPr>
    <w:rPr>
      <w:rFonts w:ascii="Arial" w:hAnsi="Arial" w:eastAsia="" w:asciiTheme="majorHAnsi" w:eastAsiaTheme="majorEastAsia" w:hAnsiTheme="majorHAnsi"/>
      <w:color w:val="17365D" w:themeColor="text2" w:themeShade="bf"/>
      <w:spacing w:val="5"/>
      <w:kern w:val="2"/>
      <w:sz w:val="52"/>
      <w:szCs w:val="47"/>
    </w:rPr>
  </w:style>
  <w:style w:type="paragraph" w:styleId="Subtitle">
    <w:name w:val="Subtitle"/>
    <w:basedOn w:val="Normal"/>
    <w:next w:val="Normal"/>
    <w:link w:val="SubtitleChar"/>
    <w:uiPriority w:val="11"/>
    <w:qFormat/>
    <w:rsid w:val="0051557e"/>
    <w:pPr/>
    <w:rPr>
      <w:rFonts w:ascii="Arial" w:hAnsi="Arial" w:eastAsia="" w:asciiTheme="majorHAnsi" w:eastAsiaTheme="majorEastAsia" w:hAnsiTheme="majorHAnsi"/>
      <w:i/>
      <w:iCs/>
      <w:color w:val="4F81BD" w:themeColor="accent1"/>
      <w:spacing w:val="15"/>
      <w:szCs w:val="21"/>
    </w:rPr>
  </w:style>
  <w:style w:type="paragraph" w:styleId="ListParagraph">
    <w:name w:val="List Paragraph"/>
    <w:basedOn w:val="Normal"/>
    <w:link w:val="ListParagraphChar"/>
    <w:uiPriority w:val="34"/>
    <w:qFormat/>
    <w:rsid w:val="0051557e"/>
    <w:pPr>
      <w:spacing w:before="120" w:after="120"/>
      <w:ind w:left="720" w:hanging="0"/>
      <w:contextualSpacing/>
    </w:pPr>
    <w:rPr>
      <w:szCs w:val="2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1557e"/>
    <w:pPr>
      <w:widowControl/>
      <w:suppressAutoHyphens w:val="false"/>
      <w:spacing w:lineRule="auto" w:line="276"/>
      <w:outlineLvl w:val="9"/>
    </w:pPr>
    <w:rPr>
      <w:rFonts w:cs="" w:cstheme="majorBidi"/>
      <w:kern w:val="0"/>
      <w:szCs w:val="28"/>
      <w:lang w:val="en-US" w:eastAsia="ja-JP"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e01ca"/>
    <w:pPr>
      <w:tabs>
        <w:tab w:val="clear" w:pos="720"/>
        <w:tab w:val="center" w:pos="4513" w:leader="none"/>
        <w:tab w:val="right" w:pos="9026" w:leader="none"/>
      </w:tabs>
    </w:pPr>
    <w:rPr>
      <w:sz w:val="16"/>
      <w:szCs w:val="21"/>
    </w:rPr>
  </w:style>
  <w:style w:type="paragraph" w:styleId="Footer">
    <w:name w:val="Footer"/>
    <w:basedOn w:val="Normal"/>
    <w:link w:val="FooterChar"/>
    <w:uiPriority w:val="99"/>
    <w:unhideWhenUsed/>
    <w:rsid w:val="00ce01ca"/>
    <w:pPr>
      <w:tabs>
        <w:tab w:val="clear" w:pos="720"/>
        <w:tab w:val="center" w:pos="4513" w:leader="none"/>
        <w:tab w:val="right" w:pos="9026" w:leader="none"/>
      </w:tabs>
    </w:pPr>
    <w:rPr>
      <w:sz w:val="16"/>
      <w:szCs w:val="21"/>
    </w:rPr>
  </w:style>
  <w:style w:type="paragraph" w:styleId="BalloonText">
    <w:name w:val="Balloon Text"/>
    <w:basedOn w:val="Normal"/>
    <w:link w:val="BalloonTextChar"/>
    <w:uiPriority w:val="99"/>
    <w:semiHidden/>
    <w:unhideWhenUsed/>
    <w:qFormat/>
    <w:rsid w:val="007026c1"/>
    <w:pPr/>
    <w:rPr>
      <w:rFonts w:ascii="Tahoma" w:hAnsi="Tahoma"/>
      <w:sz w:val="16"/>
      <w:szCs w:val="14"/>
    </w:rPr>
  </w:style>
  <w:style w:type="paragraph" w:styleId="NormalWeb">
    <w:name w:val="Normal (Web)"/>
    <w:basedOn w:val="Normal"/>
    <w:link w:val="NormalWebChar"/>
    <w:unhideWhenUsed/>
    <w:qFormat/>
    <w:rsid w:val="0096502e"/>
    <w:pPr>
      <w:widowControl/>
      <w:suppressAutoHyphens w:val="false"/>
      <w:spacing w:beforeAutospacing="1" w:afterAutospacing="1"/>
    </w:pPr>
    <w:rPr>
      <w:rFonts w:eastAsia="Times New Roman" w:cs="Times New Roman"/>
      <w:kern w:val="0"/>
      <w:lang w:eastAsia="en-AU" w:bidi="ar-SA"/>
    </w:rPr>
  </w:style>
  <w:style w:type="paragraph" w:styleId="MajorTableText" w:customStyle="1">
    <w:name w:val="Major Table Text"/>
    <w:basedOn w:val="Normal"/>
    <w:qFormat/>
    <w:rsid w:val="0096502e"/>
    <w:pPr>
      <w:widowControl/>
      <w:suppressAutoHyphens w:val="false"/>
      <w:spacing w:before="60" w:after="60"/>
    </w:pPr>
    <w:rPr>
      <w:rFonts w:ascii="Palatino" w:hAnsi="Palatino" w:eastAsia="Times New Roman" w:cs="Times New Roman"/>
      <w:kern w:val="0"/>
      <w:sz w:val="18"/>
      <w:szCs w:val="20"/>
      <w:lang w:eastAsia="en-US" w:bidi="ar-SA"/>
    </w:rPr>
  </w:style>
  <w:style w:type="paragraph" w:styleId="Annotationtext">
    <w:name w:val="annotation text"/>
    <w:basedOn w:val="Normal"/>
    <w:link w:val="CommentTextChar"/>
    <w:uiPriority w:val="99"/>
    <w:semiHidden/>
    <w:unhideWhenUsed/>
    <w:qFormat/>
    <w:rsid w:val="0023672d"/>
    <w:pPr/>
    <w:rPr>
      <w:sz w:val="20"/>
      <w:szCs w:val="18"/>
    </w:rPr>
  </w:style>
  <w:style w:type="paragraph" w:styleId="Annotationsubject">
    <w:name w:val="annotation subject"/>
    <w:basedOn w:val="Annotationtext"/>
    <w:next w:val="Annotationtext"/>
    <w:link w:val="CommentSubjectChar"/>
    <w:uiPriority w:val="99"/>
    <w:semiHidden/>
    <w:unhideWhenUsed/>
    <w:qFormat/>
    <w:rsid w:val="0023672d"/>
    <w:pPr/>
    <w:rPr>
      <w:b/>
      <w:bCs/>
    </w:rPr>
  </w:style>
  <w:style w:type="paragraph" w:styleId="Default" w:customStyle="1">
    <w:name w:val="Default"/>
    <w:qFormat/>
    <w:rsid w:val="009d65df"/>
    <w:pPr>
      <w:widowControl/>
      <w:suppressAutoHyphens w:val="true"/>
      <w:bidi w:val="0"/>
      <w:spacing w:before="0" w:after="0"/>
      <w:jc w:val="left"/>
    </w:pPr>
    <w:rPr>
      <w:rFonts w:ascii="Arial" w:hAnsi="Arial" w:eastAsia="Arial" w:cs="Arial"/>
      <w:color w:val="000000"/>
      <w:kern w:val="0"/>
      <w:sz w:val="24"/>
      <w:szCs w:val="24"/>
      <w:lang w:val="en-AU" w:eastAsia="en-US" w:bidi="ar-SA"/>
    </w:rPr>
  </w:style>
  <w:style w:type="paragraph" w:styleId="Redbanner" w:customStyle="1">
    <w:name w:val="red banner"/>
    <w:basedOn w:val="Normal"/>
    <w:qFormat/>
    <w:rsid w:val="00ce01ca"/>
    <w:pPr>
      <w:widowControl/>
      <w:suppressAutoHyphens w:val="false"/>
      <w:spacing w:lineRule="auto" w:line="240" w:before="0" w:after="0"/>
      <w:jc w:val="right"/>
    </w:pPr>
    <w:rPr>
      <w:rFonts w:eastAsia="Times New Roman" w:cs="Times New Roman"/>
      <w:color w:val="000000"/>
      <w:kern w:val="0"/>
      <w:sz w:val="18"/>
      <w:lang w:eastAsia="en-AU" w:bidi="ar-SA"/>
    </w:rPr>
  </w:style>
  <w:style w:type="paragraph" w:styleId="TableContents">
    <w:name w:val="Table Contents"/>
    <w:basedOn w:val="Normal"/>
    <w:qFormat/>
    <w:pPr/>
    <w:rPr/>
  </w:style>
  <w:style w:type="paragraph" w:styleId="TableHeading" w:customStyle="1">
    <w:name w:val="Table Heading"/>
    <w:basedOn w:val="Normal"/>
    <w:uiPriority w:val="4"/>
    <w:qFormat/>
    <w:rsid w:val="000a70c7"/>
    <w:pPr>
      <w:spacing w:before="80" w:after="80"/>
    </w:pPr>
    <w:rPr>
      <w:rFonts w:cs="Arial"/>
      <w:b/>
      <w:szCs w:val="22"/>
    </w:rPr>
  </w:style>
  <w:style w:type="paragraph" w:styleId="TableText" w:customStyle="1">
    <w:name w:val="Table Text"/>
    <w:basedOn w:val="Normal"/>
    <w:uiPriority w:val="4"/>
    <w:qFormat/>
    <w:rsid w:val="00836649"/>
    <w:pPr>
      <w:spacing w:before="80" w:after="80"/>
    </w:pPr>
    <w:rPr>
      <w:rFonts w:cs="Arial"/>
      <w:szCs w:val="20"/>
    </w:rPr>
  </w:style>
  <w:style w:type="paragraph" w:styleId="TableBullet-Main" w:customStyle="1">
    <w:name w:val="Table Bullet - Main"/>
    <w:basedOn w:val="ListParagraph"/>
    <w:qFormat/>
    <w:rsid w:val="000a70c7"/>
    <w:pPr>
      <w:numPr>
        <w:ilvl w:val="0"/>
        <w:numId w:val="1"/>
      </w:numPr>
      <w:tabs>
        <w:tab w:val="clear" w:pos="720"/>
        <w:tab w:val="left" w:pos="567" w:leader="none"/>
      </w:tabs>
      <w:spacing w:before="80" w:after="80"/>
      <w:ind w:left="567" w:hanging="567"/>
      <w:contextualSpacing w:val="false"/>
    </w:pPr>
    <w:rPr>
      <w:rFonts w:cs="Arial"/>
      <w:szCs w:val="22"/>
    </w:rPr>
  </w:style>
  <w:style w:type="paragraph" w:styleId="Sourcereferencetext" w:customStyle="1">
    <w:name w:val="Source reference text"/>
    <w:link w:val="SourcereferencetextChar"/>
    <w:uiPriority w:val="8"/>
    <w:qFormat/>
    <w:rsid w:val="00ce01ca"/>
    <w:pPr>
      <w:widowControl/>
      <w:suppressAutoHyphens w:val="true"/>
      <w:bidi w:val="0"/>
      <w:spacing w:before="0" w:after="0"/>
      <w:jc w:val="right"/>
    </w:pPr>
    <w:rPr>
      <w:rFonts w:ascii="Arial" w:hAnsi="Arial" w:eastAsia="Calibri" w:cs="Helvetica"/>
      <w:bCs/>
      <w:color w:val="auto"/>
      <w:kern w:val="0"/>
      <w:sz w:val="16"/>
      <w:szCs w:val="16"/>
      <w:lang w:val="en-AU" w:eastAsia="en-US" w:bidi="ar-SA"/>
    </w:rPr>
  </w:style>
  <w:style w:type="paragraph" w:styleId="Footnote" w:customStyle="1">
    <w:name w:val="Footnote Text"/>
    <w:basedOn w:val="Normal"/>
    <w:uiPriority w:val="4"/>
    <w:qFormat/>
    <w:rsid w:val="00ce01ca"/>
    <w:pPr>
      <w:widowControl/>
      <w:suppressAutoHyphens w:val="false"/>
      <w:spacing w:before="120" w:after="0"/>
    </w:pPr>
    <w:rPr>
      <w:rFonts w:eastAsia="Calibri" w:cs="Times New Roman"/>
      <w:kern w:val="0"/>
      <w:sz w:val="20"/>
      <w:szCs w:val="22"/>
      <w:lang w:eastAsia="en-US" w:bidi="ar-SA"/>
    </w:rPr>
  </w:style>
  <w:style w:type="paragraph" w:styleId="Introduction" w:customStyle="1">
    <w:name w:val="Introduction"/>
    <w:basedOn w:val="Normal"/>
    <w:autoRedefine/>
    <w:qFormat/>
    <w:locked/>
    <w:rsid w:val="00ce01ca"/>
    <w:pPr>
      <w:widowControl/>
      <w:suppressAutoHyphens w:val="false"/>
    </w:pPr>
    <w:rPr>
      <w:rFonts w:eastAsia="Calibri" w:cs="Arial"/>
      <w:kern w:val="0"/>
      <w:szCs w:val="32"/>
      <w:lang w:eastAsia="en-US" w:bidi="ar-SA"/>
    </w:rPr>
  </w:style>
  <w:style w:type="paragraph" w:styleId="Bullet-main" w:customStyle="1">
    <w:name w:val="Bullet - main"/>
    <w:basedOn w:val="ListParagraph"/>
    <w:uiPriority w:val="4"/>
    <w:qFormat/>
    <w:rsid w:val="00d05d86"/>
    <w:pPr>
      <w:widowControl/>
      <w:numPr>
        <w:ilvl w:val="0"/>
        <w:numId w:val="2"/>
      </w:numPr>
      <w:tabs>
        <w:tab w:val="clear" w:pos="720"/>
        <w:tab w:val="left" w:pos="567" w:leader="none"/>
      </w:tabs>
      <w:suppressAutoHyphens w:val="false"/>
      <w:spacing w:before="120" w:after="120"/>
      <w:ind w:left="567" w:hanging="567"/>
      <w:contextualSpacing w:val="false"/>
    </w:pPr>
    <w:rPr>
      <w:rFonts w:eastAsia="Calibri" w:cs="Times New Roman"/>
      <w:kern w:val="0"/>
      <w:szCs w:val="22"/>
      <w:lang w:eastAsia="en-US" w:bidi="ar-SA"/>
    </w:rPr>
  </w:style>
  <w:style w:type="paragraph" w:styleId="Bullet-sub2" w:customStyle="1">
    <w:name w:val="Bullet - sub2"/>
    <w:basedOn w:val="Bullet-main"/>
    <w:uiPriority w:val="4"/>
    <w:qFormat/>
    <w:rsid w:val="00d05d86"/>
    <w:pPr>
      <w:numPr>
        <w:ilvl w:val="0"/>
        <w:numId w:val="3"/>
      </w:numPr>
      <w:tabs>
        <w:tab w:val="clear" w:pos="567"/>
        <w:tab w:val="left" w:pos="1134" w:leader="none"/>
      </w:tabs>
      <w:ind w:left="1134" w:hanging="567"/>
    </w:pPr>
    <w:rPr/>
  </w:style>
  <w:style w:type="paragraph" w:styleId="Answerbullet-main" w:customStyle="1">
    <w:name w:val="Answer bullet - main"/>
    <w:basedOn w:val="Bullet-main"/>
    <w:uiPriority w:val="4"/>
    <w:qFormat/>
    <w:rsid w:val="0045702f"/>
    <w:pPr/>
    <w:rPr>
      <w:color w:val="FF0000"/>
    </w:rPr>
  </w:style>
  <w:style w:type="paragraph" w:styleId="Answerbullet-sub2" w:customStyle="1">
    <w:name w:val="Answer bullet - sub2"/>
    <w:basedOn w:val="Bullet-sub2"/>
    <w:uiPriority w:val="4"/>
    <w:qFormat/>
    <w:rsid w:val="0045702f"/>
    <w:pPr/>
    <w:rPr>
      <w:color w:val="FF0000"/>
    </w:rPr>
  </w:style>
  <w:style w:type="paragraph" w:styleId="Calloutheading" w:customStyle="1">
    <w:name w:val="Callout heading"/>
    <w:basedOn w:val="Normal"/>
    <w:uiPriority w:val="4"/>
    <w:qFormat/>
    <w:rsid w:val="00ce01ca"/>
    <w:pPr>
      <w:widowControl/>
      <w:suppressAutoHyphens w:val="false"/>
    </w:pPr>
    <w:rPr>
      <w:rFonts w:eastAsia="Times New Roman" w:cs="Times New Roman"/>
      <w:b/>
      <w:kern w:val="0"/>
      <w:sz w:val="24"/>
      <w:szCs w:val="22"/>
      <w:lang w:eastAsia="en-AU" w:bidi="ar-SA"/>
    </w:rPr>
  </w:style>
  <w:style w:type="paragraph" w:styleId="Calloutbullet-main" w:customStyle="1">
    <w:name w:val="Callout bullet - main"/>
    <w:basedOn w:val="Bullet-main"/>
    <w:uiPriority w:val="4"/>
    <w:qFormat/>
    <w:rsid w:val="00ce01ca"/>
    <w:pPr>
      <w:ind w:left="567" w:hanging="425"/>
    </w:pPr>
    <w:rPr/>
  </w:style>
  <w:style w:type="paragraph" w:styleId="Callouttext" w:customStyle="1">
    <w:name w:val="Callout text"/>
    <w:basedOn w:val="Bullet-sub2"/>
    <w:uiPriority w:val="4"/>
    <w:qFormat/>
    <w:rsid w:val="00ce01ca"/>
    <w:pPr>
      <w:numPr>
        <w:ilvl w:val="0"/>
        <w:numId w:val="0"/>
      </w:numPr>
      <w:ind w:left="142" w:hanging="567"/>
    </w:pPr>
    <w:rPr/>
  </w:style>
  <w:style w:type="paragraph" w:styleId="Calloutbullet-sub2" w:customStyle="1">
    <w:name w:val="Callout bullet - sub2"/>
    <w:basedOn w:val="Bullet-sub2"/>
    <w:uiPriority w:val="4"/>
    <w:qFormat/>
    <w:rsid w:val="00ce01ca"/>
    <w:pPr/>
    <w:rPr/>
  </w:style>
  <w:style w:type="paragraph" w:styleId="Answercalloutbullet-main" w:customStyle="1">
    <w:name w:val="Answer callout bullet - main"/>
    <w:basedOn w:val="Calloutbullet-main"/>
    <w:uiPriority w:val="4"/>
    <w:qFormat/>
    <w:rsid w:val="0045702f"/>
    <w:pPr/>
    <w:rPr>
      <w:color w:val="FF0000"/>
    </w:rPr>
  </w:style>
  <w:style w:type="paragraph" w:styleId="Answercalloutbullet-sub" w:customStyle="1">
    <w:name w:val="Answer callout bullet - sub"/>
    <w:basedOn w:val="Calloutbullet-sub2"/>
    <w:uiPriority w:val="4"/>
    <w:qFormat/>
    <w:rsid w:val="0045702f"/>
    <w:pPr/>
    <w:rPr>
      <w:color w:val="FF0000"/>
    </w:rPr>
  </w:style>
  <w:style w:type="paragraph" w:styleId="Answercallout" w:customStyle="1">
    <w:name w:val="Answer callout"/>
    <w:basedOn w:val="Callouttext"/>
    <w:uiPriority w:val="4"/>
    <w:qFormat/>
    <w:rsid w:val="0045702f"/>
    <w:pPr/>
    <w:rPr>
      <w:color w:val="FF0000"/>
    </w:rPr>
  </w:style>
  <w:style w:type="paragraph" w:styleId="Answertext" w:customStyle="1">
    <w:name w:val="Answer text"/>
    <w:basedOn w:val="Normal"/>
    <w:uiPriority w:val="4"/>
    <w:qFormat/>
    <w:rsid w:val="0045702f"/>
    <w:pPr>
      <w:widowControl/>
      <w:suppressAutoHyphens w:val="false"/>
    </w:pPr>
    <w:rPr>
      <w:rFonts w:eastAsia="Calibri" w:cs="Times New Roman"/>
      <w:color w:val="FF0000"/>
      <w:kern w:val="0"/>
      <w:szCs w:val="22"/>
      <w:lang w:eastAsia="en-US" w:bidi="ar-SA"/>
    </w:rPr>
  </w:style>
  <w:style w:type="paragraph" w:styleId="Answerindent" w:customStyle="1">
    <w:name w:val="Answer indent"/>
    <w:basedOn w:val="Answertext"/>
    <w:uiPriority w:val="4"/>
    <w:qFormat/>
    <w:rsid w:val="0045702f"/>
    <w:pPr>
      <w:ind w:left="567" w:hanging="0"/>
    </w:pPr>
    <w:rPr/>
  </w:style>
  <w:style w:type="paragraph" w:styleId="Bullet-sub3" w:customStyle="1">
    <w:name w:val="Bullet - sub3"/>
    <w:basedOn w:val="ListParagraph"/>
    <w:uiPriority w:val="4"/>
    <w:qFormat/>
    <w:rsid w:val="00d05d86"/>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Answerbullet-sub3" w:customStyle="1">
    <w:name w:val="Answer bullet - sub3"/>
    <w:basedOn w:val="Bullet-sub3"/>
    <w:uiPriority w:val="4"/>
    <w:qFormat/>
    <w:rsid w:val="0045702f"/>
    <w:pPr/>
    <w:rPr>
      <w:color w:val="FF0000"/>
    </w:rPr>
  </w:style>
  <w:style w:type="paragraph" w:styleId="Calloutbullet-sub3" w:customStyle="1">
    <w:name w:val="Callout bullet - sub3"/>
    <w:basedOn w:val="Answerbullet-sub3"/>
    <w:uiPriority w:val="4"/>
    <w:qFormat/>
    <w:rsid w:val="00ce01ca"/>
    <w:pPr/>
    <w:rPr>
      <w:color w:val="auto"/>
    </w:rPr>
  </w:style>
  <w:style w:type="paragraph" w:styleId="Answercalloutbullet-sub3" w:customStyle="1">
    <w:name w:val="Answer callout bullet - sub3"/>
    <w:basedOn w:val="Answerbullet-sub3"/>
    <w:uiPriority w:val="4"/>
    <w:qFormat/>
    <w:rsid w:val="00ce01ca"/>
    <w:pPr/>
    <w:rPr/>
  </w:style>
  <w:style w:type="paragraph" w:styleId="Tablebullet-main1" w:customStyle="1">
    <w:name w:val="Table bullet - main"/>
    <w:basedOn w:val="Bullet-main"/>
    <w:uiPriority w:val="4"/>
    <w:qFormat/>
    <w:rsid w:val="00ce01ca"/>
    <w:pPr>
      <w:spacing w:before="80" w:after="80"/>
    </w:pPr>
    <w:rPr/>
  </w:style>
  <w:style w:type="paragraph" w:styleId="Tablebullet-sub2" w:customStyle="1">
    <w:name w:val="Table bullet - sub2"/>
    <w:basedOn w:val="Bullet-sub2"/>
    <w:uiPriority w:val="4"/>
    <w:qFormat/>
    <w:rsid w:val="00ce01ca"/>
    <w:pPr>
      <w:spacing w:before="80" w:after="80"/>
    </w:pPr>
    <w:rPr/>
  </w:style>
  <w:style w:type="paragraph" w:styleId="Tablebullet-sub3" w:customStyle="1">
    <w:name w:val="Table bullet - sub3"/>
    <w:basedOn w:val="Bullet-sub3"/>
    <w:uiPriority w:val="4"/>
    <w:qFormat/>
    <w:rsid w:val="00ce01ca"/>
    <w:pPr>
      <w:spacing w:before="80" w:after="80"/>
    </w:pPr>
    <w:rPr/>
  </w:style>
  <w:style w:type="paragraph" w:styleId="Answercheckbox-main" w:customStyle="1">
    <w:name w:val="Answer checkbox - main"/>
    <w:basedOn w:val="Answerbullet-main"/>
    <w:uiPriority w:val="4"/>
    <w:qFormat/>
    <w:rsid w:val="00ce01ca"/>
    <w:pPr>
      <w:numPr>
        <w:ilvl w:val="0"/>
        <w:numId w:val="5"/>
      </w:numPr>
      <w:ind w:left="567" w:hanging="567"/>
    </w:pPr>
    <w:rPr/>
  </w:style>
  <w:style w:type="paragraph" w:styleId="Checkbox" w:customStyle="1">
    <w:name w:val="Checkbox"/>
    <w:basedOn w:val="Answercheckbox-main"/>
    <w:uiPriority w:val="4"/>
    <w:qFormat/>
    <w:rsid w:val="00ce01ca"/>
    <w:pPr>
      <w:numPr>
        <w:ilvl w:val="0"/>
        <w:numId w:val="6"/>
      </w:numPr>
      <w:ind w:left="567" w:hanging="567"/>
    </w:pPr>
    <w:rPr>
      <w:color w:val="auto"/>
    </w:rPr>
  </w:style>
  <w:style w:type="paragraph" w:styleId="Checkbox-main" w:customStyle="1">
    <w:name w:val="Checkbox - main"/>
    <w:basedOn w:val="Answercheckbox-main"/>
    <w:uiPriority w:val="4"/>
    <w:qFormat/>
    <w:rsid w:val="00ce01ca"/>
    <w:pPr>
      <w:numPr>
        <w:ilvl w:val="0"/>
        <w:numId w:val="0"/>
      </w:numPr>
      <w:ind w:left="567" w:hanging="567"/>
    </w:pPr>
    <w:rPr>
      <w:color w:val="auto"/>
    </w:rPr>
  </w:style>
  <w:style w:type="paragraph" w:styleId="Checkbox-sub2" w:customStyle="1">
    <w:name w:val="Checkbox - sub2"/>
    <w:basedOn w:val="Checkbox-main"/>
    <w:qFormat/>
    <w:rsid w:val="00ce01ca"/>
    <w:pPr>
      <w:tabs>
        <w:tab w:val="clear" w:pos="567"/>
        <w:tab w:val="left" w:pos="1134" w:leader="none"/>
      </w:tabs>
      <w:ind w:left="1134" w:hanging="567"/>
    </w:pPr>
    <w:rPr/>
  </w:style>
  <w:style w:type="paragraph" w:styleId="Answercheckbox-sub2" w:customStyle="1">
    <w:name w:val="Answer checkbox - sub2"/>
    <w:basedOn w:val="Answercheckbox-main"/>
    <w:uiPriority w:val="4"/>
    <w:qFormat/>
    <w:rsid w:val="00ce01ca"/>
    <w:pPr>
      <w:tabs>
        <w:tab w:val="clear" w:pos="567"/>
        <w:tab w:val="left" w:pos="1134" w:leader="none"/>
      </w:tabs>
      <w:ind w:left="1134" w:hanging="567"/>
    </w:pPr>
    <w:rPr/>
  </w:style>
  <w:style w:type="paragraph" w:styleId="Tableheading1" w:customStyle="1">
    <w:name w:val="Table heading"/>
    <w:basedOn w:val="Normal"/>
    <w:qFormat/>
    <w:rsid w:val="00a12359"/>
    <w:pPr>
      <w:spacing w:lineRule="auto" w:line="240" w:before="80" w:after="80"/>
    </w:pPr>
    <w:rPr>
      <w:rFonts w:cs="Arial"/>
      <w:b/>
      <w:szCs w:val="22"/>
    </w:rPr>
  </w:style>
  <w:style w:type="paragraph" w:styleId="Privacydisclaimer" w:customStyle="1">
    <w:name w:val="Privacy disclaimer"/>
    <w:basedOn w:val="Normal"/>
    <w:qFormat/>
    <w:rsid w:val="00a12359"/>
    <w:pPr>
      <w:widowControl/>
      <w:tabs>
        <w:tab w:val="clear" w:pos="720"/>
        <w:tab w:val="left" w:pos="5160" w:leader="none"/>
        <w:tab w:val="left" w:pos="5313" w:leader="none"/>
      </w:tabs>
      <w:suppressAutoHyphens w:val="false"/>
      <w:spacing w:lineRule="auto" w:line="240" w:before="80" w:after="80"/>
    </w:pPr>
    <w:rPr>
      <w:rFonts w:eastAsia="Times New Roman" w:cs="Arial"/>
      <w:color w:val="000000"/>
      <w:kern w:val="0"/>
      <w:sz w:val="14"/>
      <w:szCs w:val="18"/>
      <w:lang w:eastAsia="en-AU" w:bidi="ar-SA"/>
    </w:rPr>
  </w:style>
  <w:style w:type="paragraph" w:styleId="NoSpacing">
    <w:name w:val="No Spacing"/>
    <w:uiPriority w:val="1"/>
    <w:qFormat/>
    <w:rsid w:val="00407343"/>
    <w:pPr>
      <w:widowControl w:val="false"/>
      <w:suppressAutoHyphens w:val="true"/>
      <w:bidi w:val="0"/>
      <w:spacing w:before="0" w:after="0"/>
      <w:jc w:val="left"/>
    </w:pPr>
    <w:rPr>
      <w:rFonts w:ascii="Arial" w:hAnsi="Arial" w:eastAsia="SimSun" w:cs="Mangal"/>
      <w:color w:val="auto"/>
      <w:kern w:val="2"/>
      <w:sz w:val="22"/>
      <w:szCs w:val="24"/>
      <w:lang w:val="en-AU" w:eastAsia="hi-IN" w:bidi="hi-IN"/>
    </w:rPr>
  </w:style>
  <w:style w:type="paragraph" w:styleId="Bulletindent1" w:customStyle="1">
    <w:name w:val="Bullet indent1"/>
    <w:basedOn w:val="Bullet-main"/>
    <w:qFormat/>
    <w:rsid w:val="008845b5"/>
    <w:pPr>
      <w:ind w:left="1134" w:hanging="567"/>
    </w:pPr>
    <w:rPr/>
  </w:style>
  <w:style w:type="paragraph" w:styleId="Indent1" w:customStyle="1">
    <w:name w:val="Indent1"/>
    <w:basedOn w:val="Normal"/>
    <w:qFormat/>
    <w:rsid w:val="008845b5"/>
    <w:pPr>
      <w:ind w:left="567" w:hanging="0"/>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connect.tafeqld.edu.au/d2l/login" TargetMode="External"/><Relationship Id="rId5" Type="http://schemas.openxmlformats.org/officeDocument/2006/relationships/hyperlink" Target="https://passwordreset.tafeqld.edu.au/default.aspx"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checkpoint.com/cyber-hub/threat-prevention/what-is-phishing/" TargetMode="External"/><Relationship Id="rId11" Type="http://schemas.openxmlformats.org/officeDocument/2006/relationships/hyperlink" Target="" TargetMode="External"/><Relationship Id="rId12" Type="http://schemas.openxmlformats.org/officeDocument/2006/relationships/hyperlink" Target="https://www.cyber.gov.au/ransomware" TargetMode="External"/><Relationship Id="rId13" Type="http://schemas.openxmlformats.org/officeDocument/2006/relationships/hyperlink" Target="" TargetMode="External"/><Relationship Id="rId14" Type="http://schemas.openxmlformats.org/officeDocument/2006/relationships/hyperlink" Target="https://www.malwarebytes.com/malware" TargetMode="External"/><Relationship Id="rId15" Type="http://schemas.openxmlformats.org/officeDocument/2006/relationships/hyperlink" Target=""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4.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F0751022-2063-4462-B66A-E59A0AF88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LibreOffice/7.5.0.3$Windows_X86_64 LibreOffice_project/c21113d003cd3efa8c53188764377a8272d9d6de</Application>
  <AppVersion>15.0000</AppVersion>
  <Pages>18</Pages>
  <Words>4405</Words>
  <Characters>24970</Characters>
  <CharactersWithSpaces>29009</CharactersWithSpaces>
  <Paragraphs>347</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2021-06-25T05:43:00Z</dcterms:created>
  <dc:creator>Bush, Fiona</dc:creator>
  <dc:description/>
  <dc:language>en-AU</dc:language>
  <cp:lastModifiedBy/>
  <dcterms:modified xsi:type="dcterms:W3CDTF">2023-02-19T14:14:43Z</dcterms:modified>
  <cp:revision>38</cp:revision>
  <dc:subject/>
  <dc:title>Assessment Task - Portfolio of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MediaServiceImageTags">
    <vt:lpwstr/>
  </property>
  <property fmtid="{D5CDD505-2E9C-101B-9397-08002B2CF9AE}" pid="4" name="PandPCategory">
    <vt:lpwstr>13;#123 Assessment|9a622dcc-34f2-46e6-b1f5-10ae11344eea</vt:lpwstr>
  </property>
  <property fmtid="{D5CDD505-2E9C-101B-9397-08002B2CF9AE}" pid="5" name="PandPParentCategory">
    <vt:lpwstr>14;#100 Academic Governance|004c25cb-f080-4d53-997a-4cbdbe47bc76</vt:lpwstr>
  </property>
  <property fmtid="{D5CDD505-2E9C-101B-9397-08002B2CF9AE}" pid="6" name="Scope">
    <vt:lpwstr>7;#All staff|52512cf1-7460-4f08-a370-7b30d022c859</vt:lpwstr>
  </property>
  <property fmtid="{D5CDD505-2E9C-101B-9397-08002B2CF9AE}" pid="7" name="TaxKeyword">
    <vt:lpwstr/>
  </property>
  <property fmtid="{D5CDD505-2E9C-101B-9397-08002B2CF9AE}" pid="8" name="_dlc_DocIdItemGuid">
    <vt:lpwstr>240b7151-eafc-4615-b033-d23511defe41</vt:lpwstr>
  </property>
</Properties>
</file>