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96"/>
          <w:szCs w:val="96"/>
        </w:rPr>
      </w:pPr>
      <w:r>
        <w:rPr>
          <w:sz w:val="96"/>
          <w:szCs w:val="96"/>
        </w:rPr>
      </w:r>
    </w:p>
    <w:p>
      <w:pPr>
        <w:pStyle w:val="Normal"/>
        <w:rPr>
          <w:sz w:val="96"/>
          <w:szCs w:val="96"/>
        </w:rPr>
      </w:pPr>
      <w:r>
        <w:rPr>
          <w:sz w:val="96"/>
          <w:szCs w:val="96"/>
        </w:rPr>
      </w:r>
    </w:p>
    <w:p>
      <w:pPr>
        <w:pStyle w:val="Normal"/>
        <w:rPr>
          <w:sz w:val="96"/>
          <w:szCs w:val="96"/>
        </w:rPr>
      </w:pPr>
      <w:r>
        <w:rPr>
          <w:sz w:val="96"/>
          <w:szCs w:val="96"/>
        </w:rPr>
      </w:r>
    </w:p>
    <w:p>
      <w:pPr>
        <w:pStyle w:val="Normal"/>
        <w:rPr>
          <w:sz w:val="96"/>
          <w:szCs w:val="96"/>
        </w:rPr>
      </w:pPr>
      <w:r>
        <w:rPr>
          <w:sz w:val="96"/>
          <w:szCs w:val="96"/>
        </w:rPr>
      </w:r>
    </w:p>
    <w:p>
      <w:pPr>
        <w:pStyle w:val="Normal"/>
        <w:jc w:val="center"/>
        <w:rPr>
          <w:rFonts w:ascii="Tahoma" w:hAnsi="Tahoma" w:cs="Tahoma"/>
          <w:sz w:val="40"/>
          <w:szCs w:val="96"/>
        </w:rPr>
      </w:pPr>
      <w:r>
        <w:rPr>
          <w:rFonts w:cs="Tahoma" w:ascii="Tahoma" w:hAnsi="Tahoma"/>
          <w:b/>
          <w:sz w:val="56"/>
          <w:szCs w:val="96"/>
        </w:rPr>
        <w:t xml:space="preserve">Legislation and Policies Report </w:t>
      </w:r>
    </w:p>
    <w:p>
      <w:pPr>
        <w:pStyle w:val="Normal"/>
        <w:jc w:val="center"/>
        <w:rPr>
          <w:rFonts w:ascii="Tahoma" w:hAnsi="Tahoma" w:cs="Tahoma"/>
          <w:sz w:val="96"/>
          <w:szCs w:val="96"/>
        </w:rPr>
      </w:pPr>
      <w:r>
        <w:rPr>
          <w:rFonts w:cs="Tahoma" w:ascii="Tahoma" w:hAnsi="Tahoma"/>
          <w:sz w:val="96"/>
          <w:szCs w:val="96"/>
        </w:rPr>
      </w:r>
    </w:p>
    <w:p>
      <w:pPr>
        <w:pStyle w:val="Normal"/>
        <w:jc w:val="center"/>
        <w:rPr>
          <w:rFonts w:ascii="Tahoma" w:hAnsi="Tahoma" w:cs="Tahoma"/>
          <w:sz w:val="32"/>
          <w:szCs w:val="40"/>
        </w:rPr>
      </w:pPr>
      <w:r>
        <w:rPr>
          <w:rFonts w:cs="Tahoma" w:ascii="Tahoma" w:hAnsi="Tahoma"/>
          <w:sz w:val="32"/>
          <w:szCs w:val="40"/>
        </w:rPr>
      </w:r>
    </w:p>
    <w:p>
      <w:pPr>
        <w:pStyle w:val="Normal"/>
        <w:jc w:val="center"/>
        <w:rPr>
          <w:rFonts w:ascii="Tahoma" w:hAnsi="Tahoma" w:cs="Tahoma"/>
          <w:sz w:val="32"/>
          <w:szCs w:val="40"/>
        </w:rPr>
      </w:pPr>
      <w:r>
        <w:rPr>
          <w:rFonts w:cs="Tahoma" w:ascii="Tahoma" w:hAnsi="Tahoma"/>
          <w:sz w:val="32"/>
          <w:szCs w:val="40"/>
        </w:rPr>
        <w:t xml:space="preserve">Created by </w:t>
      </w:r>
    </w:p>
    <w:p>
      <w:pPr>
        <w:pStyle w:val="Normal"/>
        <w:jc w:val="center"/>
        <w:rPr>
          <w:rFonts w:ascii="Tahoma" w:hAnsi="Tahoma" w:cs="Tahoma"/>
          <w:sz w:val="32"/>
          <w:szCs w:val="40"/>
        </w:rPr>
      </w:pPr>
      <w:r>
        <w:rPr>
          <w:rFonts w:cs="Tahoma" w:ascii="Tahoma" w:hAnsi="Tahoma"/>
          <w:sz w:val="32"/>
          <w:szCs w:val="40"/>
        </w:rPr>
      </w:r>
    </w:p>
    <w:p>
      <w:pPr>
        <w:pStyle w:val="Normal"/>
        <w:jc w:val="center"/>
        <w:rPr>
          <w:rFonts w:ascii="Tahoma" w:hAnsi="Tahoma" w:cs="Tahoma"/>
          <w:sz w:val="40"/>
          <w:szCs w:val="40"/>
        </w:rPr>
      </w:pPr>
      <w:r>
        <w:rPr>
          <w:rFonts w:cs="Tahoma" w:ascii="Tahoma" w:hAnsi="Tahoma"/>
          <w:sz w:val="40"/>
          <w:szCs w:val="40"/>
        </w:rPr>
      </w:r>
    </w:p>
    <w:p>
      <w:pPr>
        <w:pStyle w:val="Normal"/>
        <w:jc w:val="center"/>
        <w:rPr>
          <w:rFonts w:ascii="Tahoma" w:hAnsi="Tahoma" w:cs="Tahoma"/>
          <w:b/>
          <w:sz w:val="48"/>
          <w:szCs w:val="40"/>
        </w:rPr>
      </w:pPr>
      <w:r>
        <w:rPr>
          <w:rFonts w:cs="Tahoma" w:ascii="Tahoma" w:hAnsi="Tahoma"/>
          <w:b/>
          <w:sz w:val="48"/>
          <w:szCs w:val="40"/>
        </w:rPr>
        <w:t xml:space="preserve">UPTOWN IT </w:t>
      </w:r>
    </w:p>
    <w:p>
      <w:pPr>
        <w:pStyle w:val="Normal"/>
        <w:jc w:val="center"/>
        <w:rPr>
          <w:rFonts w:ascii="Tahoma" w:hAnsi="Tahoma" w:cs="Tahoma"/>
          <w:sz w:val="40"/>
          <w:szCs w:val="40"/>
        </w:rPr>
      </w:pPr>
      <w:r>
        <w:rPr>
          <w:rFonts w:cs="Tahoma" w:ascii="Tahoma" w:hAnsi="Tahoma"/>
          <w:sz w:val="40"/>
          <w:szCs w:val="40"/>
        </w:rPr>
      </w:r>
    </w:p>
    <w:p>
      <w:pPr>
        <w:pStyle w:val="Normal"/>
        <w:jc w:val="center"/>
        <w:rPr>
          <w:rFonts w:ascii="Tahoma" w:hAnsi="Tahoma" w:cs="Tahoma"/>
          <w:sz w:val="40"/>
          <w:szCs w:val="40"/>
        </w:rPr>
      </w:pPr>
      <w:r>
        <w:rPr>
          <w:rFonts w:cs="Tahoma" w:ascii="Tahoma" w:hAnsi="Tahoma"/>
          <w:sz w:val="40"/>
          <w:szCs w:val="40"/>
        </w:rPr>
      </w:r>
    </w:p>
    <w:p>
      <w:pPr>
        <w:pStyle w:val="Normal"/>
        <w:jc w:val="center"/>
        <w:rPr>
          <w:rFonts w:ascii="Tahoma" w:hAnsi="Tahoma" w:cs="Tahoma"/>
          <w:sz w:val="40"/>
          <w:szCs w:val="40"/>
        </w:rPr>
      </w:pPr>
      <w:r>
        <w:rPr>
          <w:rFonts w:cs="Tahoma" w:ascii="Tahoma" w:hAnsi="Tahoma"/>
          <w:sz w:val="40"/>
          <w:szCs w:val="40"/>
        </w:rPr>
        <w:t>For</w:t>
      </w:r>
    </w:p>
    <w:p>
      <w:pPr>
        <w:pStyle w:val="Normal"/>
        <w:jc w:val="center"/>
        <w:rPr>
          <w:rFonts w:ascii="Tahoma" w:hAnsi="Tahoma" w:cs="Tahoma"/>
          <w:sz w:val="40"/>
          <w:szCs w:val="40"/>
        </w:rPr>
      </w:pPr>
      <w:r>
        <w:rPr>
          <w:rFonts w:cs="Tahoma" w:ascii="Tahoma" w:hAnsi="Tahoma"/>
          <w:sz w:val="40"/>
          <w:szCs w:val="40"/>
        </w:rPr>
      </w:r>
    </w:p>
    <w:p>
      <w:pPr>
        <w:pStyle w:val="Normal"/>
        <w:jc w:val="center"/>
        <w:rPr>
          <w:rFonts w:ascii="Tahoma" w:hAnsi="Tahoma" w:cs="Tahoma"/>
          <w:b/>
          <w:sz w:val="32"/>
          <w:szCs w:val="32"/>
          <w:lang w:val="en-AU"/>
        </w:rPr>
      </w:pPr>
      <w:r>
        <w:rPr>
          <w:rFonts w:cs="Tahoma" w:ascii="Tahoma" w:hAnsi="Tahoma"/>
          <w:b/>
          <w:sz w:val="40"/>
          <w:szCs w:val="40"/>
        </w:rPr>
        <w:t>TURTLE MOVERS</w:t>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r>
    </w:p>
    <w:p>
      <w:pPr>
        <w:pStyle w:val="Normal"/>
        <w:tabs>
          <w:tab w:val="clear" w:pos="720"/>
          <w:tab w:val="left" w:pos="2552" w:leader="none"/>
        </w:tabs>
        <w:rPr>
          <w:b/>
          <w:sz w:val="28"/>
          <w:szCs w:val="28"/>
        </w:rPr>
      </w:pPr>
      <w:r>
        <w:rPr>
          <w:b/>
          <w:sz w:val="28"/>
          <w:szCs w:val="28"/>
        </w:rPr>
        <w:t>PROJECT REFERENCE:</w:t>
      </w:r>
    </w:p>
    <w:p>
      <w:pPr>
        <w:pStyle w:val="Normal"/>
        <w:tabs>
          <w:tab w:val="clear" w:pos="720"/>
          <w:tab w:val="left" w:pos="2552" w:leader="none"/>
        </w:tabs>
        <w:rPr>
          <w:b/>
          <w:sz w:val="28"/>
          <w:szCs w:val="28"/>
        </w:rPr>
      </w:pPr>
      <w:r>
        <w:rPr>
          <w:b/>
          <w:sz w:val="28"/>
          <w:szCs w:val="28"/>
        </w:rPr>
        <w:t>DATE:</w:t>
      </w:r>
    </w:p>
    <w:p>
      <w:pPr>
        <w:pStyle w:val="Normal"/>
        <w:overflowPunct w:val="false"/>
        <w:textAlignment w:val="auto"/>
        <w:rPr>
          <w:b/>
          <w:sz w:val="28"/>
          <w:szCs w:val="28"/>
        </w:rPr>
      </w:pPr>
      <w:r>
        <w:rPr>
          <w:b/>
          <w:sz w:val="28"/>
          <w:szCs w:val="28"/>
        </w:rPr>
      </w:r>
      <w:r>
        <w:br w:type="page"/>
      </w:r>
    </w:p>
    <w:p>
      <w:pPr>
        <w:pStyle w:val="ContentsHeading"/>
        <w:rPr/>
      </w:pPr>
      <w:r>
        <w:rPr/>
      </w:r>
    </w:p>
    <w:p>
      <w:pPr>
        <w:pStyle w:val="Normal"/>
        <w:overflowPunct w:val="false"/>
        <w:textAlignment w:val="auto"/>
        <w:rPr>
          <w:rFonts w:ascii="Tahoma" w:hAnsi="Tahoma" w:cs="Tahoma"/>
          <w:sz w:val="48"/>
          <w:szCs w:val="48"/>
        </w:rPr>
      </w:pPr>
      <w:r>
        <w:rPr>
          <w:rFonts w:cs="Tahoma" w:ascii="Tahoma" w:hAnsi="Tahoma"/>
          <w:sz w:val="48"/>
          <w:szCs w:val="48"/>
        </w:rPr>
        <w:t>Contents</w:t>
      </w:r>
    </w:p>
    <w:p>
      <w:pPr>
        <w:pStyle w:val="Normal"/>
        <w:overflowPunct w:val="false"/>
        <w:textAlignment w:val="auto"/>
        <w:rPr>
          <w:rFonts w:ascii="Tahoma" w:hAnsi="Tahoma" w:cs="Tahoma"/>
          <w:sz w:val="48"/>
          <w:szCs w:val="48"/>
        </w:rPr>
      </w:pPr>
      <w:r>
        <w:rPr>
          <w:rFonts w:cs="Tahoma" w:ascii="Tahoma" w:hAnsi="Tahoma"/>
          <w:sz w:val="48"/>
          <w:szCs w:val="48"/>
        </w:rPr>
      </w:r>
    </w:p>
    <w:sdt>
      <w:sdtPr>
        <w:docPartObj>
          <w:docPartGallery w:val="Table of Contents"/>
          <w:docPartUnique w:val="true"/>
        </w:docPartObj>
      </w:sdtPr>
      <w:sdtContent>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24768025">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Abstract</w:t>
            </w:r>
            <w:r>
              <w:rPr>
                <w:webHidden/>
              </w:rPr>
              <w:fldChar w:fldCharType="begin"/>
            </w:r>
            <w:r>
              <w:rPr>
                <w:webHidden/>
              </w:rPr>
              <w:instrText xml:space="preserve">PAGEREF _Toc124768025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24768026">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Introduction</w:t>
            </w:r>
            <w:r>
              <w:rPr>
                <w:webHidden/>
              </w:rPr>
              <w:fldChar w:fldCharType="begin"/>
            </w:r>
            <w:r>
              <w:rPr>
                <w:webHidden/>
              </w:rPr>
              <w:instrText xml:space="preserve">PAGEREF _Toc124768026 \h</w:instrText>
            </w:r>
            <w:r>
              <w:rPr>
                <w:webHidden/>
              </w:rPr>
              <w:fldChar w:fldCharType="separate"/>
            </w:r>
            <w:r>
              <w:rPr>
                <w:rStyle w:val="IndexLink"/>
                <w:vanish w:val="false"/>
              </w:rPr>
              <w:tab/>
              <w:t>4</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24768027">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Cyber Security Legislative and Regulatory Review</w:t>
            </w:r>
            <w:r>
              <w:rPr>
                <w:webHidden/>
              </w:rPr>
              <w:fldChar w:fldCharType="begin"/>
            </w:r>
            <w:r>
              <w:rPr>
                <w:webHidden/>
              </w:rPr>
              <w:instrText xml:space="preserve">PAGEREF _Toc124768027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24768028">
            <w:r>
              <w:rPr>
                <w:webHidden/>
              </w:rPr>
              <w:fldChar w:fldCharType="begin"/>
            </w:r>
            <w:r>
              <w:rPr>
                <w:webHidden/>
              </w:rPr>
              <w:instrText xml:space="preserve">PAGEREF _Toc124768028 \h</w:instrText>
            </w:r>
            <w:r>
              <w:rPr>
                <w:webHidden/>
              </w:rPr>
              <w:fldChar w:fldCharType="separate"/>
            </w:r>
            <w:r>
              <w:rPr>
                <w:webHidden/>
                <w:rStyle w:val="IndexLink"/>
                <w:vanish w:val="false"/>
              </w:rPr>
              <w:t>3.1 Regulators</w:t>
              <w:tab/>
              <w:t>5</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24768029">
            <w:r>
              <w:rPr>
                <w:webHidden/>
                <w:rStyle w:val="IndexLink"/>
                <w:rFonts w:cs="Arial"/>
                <w:vanish w:val="false"/>
              </w:rPr>
              <w:t>4</w:t>
            </w:r>
            <w:r>
              <w:rPr>
                <w:rStyle w:val="IndexLink"/>
                <w:rFonts w:eastAsia="" w:cs="" w:ascii="Calibri" w:hAnsi="Calibri" w:asciiTheme="minorHAnsi" w:cstheme="minorBidi" w:eastAsiaTheme="minorEastAsia" w:hAnsiTheme="minorHAnsi"/>
                <w:sz w:val="22"/>
                <w:szCs w:val="22"/>
              </w:rPr>
              <w:tab/>
            </w:r>
            <w:r>
              <w:rPr>
                <w:rStyle w:val="IndexLink"/>
                <w:rFonts w:cs="Arial"/>
              </w:rPr>
              <w:t>Cyber Security Findings and Recommendations</w:t>
            </w:r>
            <w:r>
              <w:rPr>
                <w:webHidden/>
              </w:rPr>
              <w:fldChar w:fldCharType="begin"/>
            </w:r>
            <w:r>
              <w:rPr>
                <w:webHidden/>
              </w:rPr>
              <w:instrText xml:space="preserve">PAGEREF _Toc124768029 \h</w:instrText>
            </w:r>
            <w:r>
              <w:rPr>
                <w:webHidden/>
              </w:rPr>
              <w:fldChar w:fldCharType="separate"/>
            </w:r>
            <w:r>
              <w:rPr>
                <w:rStyle w:val="IndexLink"/>
                <w:vanish w:val="false"/>
              </w:rPr>
              <w:tab/>
              <w:t>5</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24768030">
            <w:r>
              <w:rPr>
                <w:webHidden/>
                <w:rStyle w:val="IndexLink"/>
                <w:rFonts w:cs="Arial"/>
                <w:vanish w:val="false"/>
              </w:rPr>
              <w:t>5</w:t>
            </w:r>
            <w:r>
              <w:rPr>
                <w:rStyle w:val="IndexLink"/>
                <w:rFonts w:eastAsia="" w:cs="" w:ascii="Calibri" w:hAnsi="Calibri" w:asciiTheme="minorHAnsi" w:cstheme="minorBidi" w:eastAsiaTheme="minorEastAsia" w:hAnsiTheme="minorHAnsi"/>
                <w:sz w:val="22"/>
                <w:szCs w:val="22"/>
              </w:rPr>
              <w:tab/>
            </w:r>
            <w:r>
              <w:rPr>
                <w:rStyle w:val="IndexLink"/>
                <w:rFonts w:cs="Arial"/>
              </w:rPr>
              <w:t>Privacy Policies and Best Practices Review</w:t>
            </w:r>
            <w:r>
              <w:rPr>
                <w:webHidden/>
              </w:rPr>
              <w:fldChar w:fldCharType="begin"/>
            </w:r>
            <w:r>
              <w:rPr>
                <w:webHidden/>
              </w:rPr>
              <w:instrText xml:space="preserve">PAGEREF _Toc124768030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24768031">
            <w:r>
              <w:rPr>
                <w:webHidden/>
                <w:rStyle w:val="IndexLink"/>
                <w:rFonts w:cs="Arial"/>
                <w:vanish w:val="false"/>
              </w:rPr>
              <w:t>6</w:t>
            </w:r>
            <w:r>
              <w:rPr>
                <w:rStyle w:val="IndexLink"/>
                <w:rFonts w:eastAsia="" w:cs="" w:ascii="Calibri" w:hAnsi="Calibri" w:asciiTheme="minorHAnsi" w:cstheme="minorBidi" w:eastAsiaTheme="minorEastAsia" w:hAnsiTheme="minorHAnsi"/>
                <w:sz w:val="22"/>
                <w:szCs w:val="22"/>
              </w:rPr>
              <w:tab/>
            </w:r>
            <w:r>
              <w:rPr>
                <w:rStyle w:val="IndexLink"/>
                <w:rFonts w:cs="Arial"/>
              </w:rPr>
              <w:t>Privacy Compliance Findings and Recommendations</w:t>
            </w:r>
            <w:r>
              <w:rPr>
                <w:webHidden/>
              </w:rPr>
              <w:fldChar w:fldCharType="begin"/>
            </w:r>
            <w:r>
              <w:rPr>
                <w:webHidden/>
              </w:rPr>
              <w:instrText xml:space="preserve">PAGEREF _Toc124768031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24768032">
            <w:r>
              <w:rPr>
                <w:webHidden/>
                <w:rStyle w:val="IndexLink"/>
                <w:rFonts w:cs="Arial"/>
                <w:vanish w:val="false"/>
              </w:rPr>
              <w:t>7</w:t>
            </w:r>
            <w:r>
              <w:rPr>
                <w:rStyle w:val="IndexLink"/>
                <w:rFonts w:eastAsia="" w:cs="" w:ascii="Calibri" w:hAnsi="Calibri" w:asciiTheme="minorHAnsi" w:cstheme="minorBidi" w:eastAsiaTheme="minorEastAsia" w:hAnsiTheme="minorHAnsi"/>
                <w:sz w:val="22"/>
                <w:szCs w:val="22"/>
              </w:rPr>
              <w:tab/>
            </w:r>
            <w:r>
              <w:rPr>
                <w:rStyle w:val="IndexLink"/>
                <w:rFonts w:cs="Arial"/>
              </w:rPr>
              <w:t>Ethical behaviour in cyber security</w:t>
            </w:r>
            <w:r>
              <w:rPr>
                <w:webHidden/>
              </w:rPr>
              <w:fldChar w:fldCharType="begin"/>
            </w:r>
            <w:r>
              <w:rPr>
                <w:webHidden/>
              </w:rPr>
              <w:instrText xml:space="preserve">PAGEREF _Toc124768032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313" w:leader="dot"/>
            </w:tabs>
            <w:rPr>
              <w:rFonts w:ascii="Calibri" w:hAnsi="Calibri" w:eastAsia="" w:cs="" w:asciiTheme="minorHAnsi" w:cstheme="minorBidi" w:eastAsiaTheme="minorEastAsia" w:hAnsiTheme="minorHAnsi"/>
              <w:szCs w:val="22"/>
            </w:rPr>
          </w:pPr>
          <w:hyperlink w:anchor="_Toc124768033">
            <w:r>
              <w:rPr>
                <w:webHidden/>
                <w:rStyle w:val="IndexLink"/>
                <w:vanish w:val="false"/>
              </w:rPr>
              <w:t>7.1</w:t>
            </w:r>
            <w:r>
              <w:rPr>
                <w:rStyle w:val="IndexLink"/>
                <w:rFonts w:eastAsia="" w:cs="" w:ascii="Calibri" w:hAnsi="Calibri" w:asciiTheme="minorHAnsi" w:cstheme="minorBidi" w:eastAsiaTheme="minorEastAsia" w:hAnsiTheme="minorHAnsi"/>
                <w:szCs w:val="22"/>
              </w:rPr>
              <w:tab/>
            </w:r>
            <w:r>
              <w:rPr>
                <w:rStyle w:val="IndexLink"/>
              </w:rPr>
              <w:t>Code of Practice (for only one of the two organisations)</w:t>
            </w:r>
            <w:r>
              <w:rPr>
                <w:webHidden/>
              </w:rPr>
              <w:fldChar w:fldCharType="begin"/>
            </w:r>
            <w:r>
              <w:rPr>
                <w:webHidden/>
              </w:rPr>
              <w:instrText xml:space="preserve">PAGEREF _Toc124768033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313" w:leader="dot"/>
            </w:tabs>
            <w:rPr>
              <w:rFonts w:ascii="Calibri" w:hAnsi="Calibri" w:eastAsia="" w:cs="" w:asciiTheme="minorHAnsi" w:cstheme="minorBidi" w:eastAsiaTheme="minorEastAsia" w:hAnsiTheme="minorHAnsi"/>
              <w:szCs w:val="22"/>
            </w:rPr>
          </w:pPr>
          <w:hyperlink w:anchor="_Toc124768034">
            <w:r>
              <w:rPr>
                <w:webHidden/>
                <w:rStyle w:val="IndexLink"/>
                <w:vanish w:val="false"/>
              </w:rPr>
              <w:t>7.2</w:t>
            </w:r>
            <w:r>
              <w:rPr>
                <w:rStyle w:val="IndexLink"/>
                <w:rFonts w:eastAsia="" w:cs="" w:ascii="Calibri" w:hAnsi="Calibri" w:asciiTheme="minorHAnsi" w:cstheme="minorBidi" w:eastAsiaTheme="minorEastAsia" w:hAnsiTheme="minorHAnsi"/>
                <w:szCs w:val="22"/>
              </w:rPr>
              <w:tab/>
            </w:r>
            <w:r>
              <w:rPr>
                <w:rStyle w:val="IndexLink"/>
              </w:rPr>
              <w:t>Ethical practices (this part covers both organisations)</w:t>
            </w:r>
            <w:r>
              <w:rPr>
                <w:webHidden/>
              </w:rPr>
              <w:fldChar w:fldCharType="begin"/>
            </w:r>
            <w:r>
              <w:rPr>
                <w:webHidden/>
              </w:rPr>
              <w:instrText xml:space="preserve">PAGEREF _Toc124768034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8313" w:leader="dot"/>
            </w:tabs>
            <w:rPr>
              <w:rFonts w:ascii="Calibri" w:hAnsi="Calibri" w:eastAsia="" w:cs="" w:asciiTheme="minorHAnsi" w:cstheme="minorBidi" w:eastAsiaTheme="minorEastAsia" w:hAnsiTheme="minorHAnsi"/>
              <w:sz w:val="22"/>
              <w:szCs w:val="22"/>
            </w:rPr>
          </w:pPr>
          <w:hyperlink w:anchor="_Toc124768035">
            <w:r>
              <w:rPr>
                <w:webHidden/>
                <w:rStyle w:val="IndexLink"/>
                <w:rFonts w:cs="Arial"/>
                <w:vanish w:val="false"/>
              </w:rPr>
              <w:t>8</w:t>
            </w:r>
            <w:r>
              <w:rPr>
                <w:rStyle w:val="IndexLink"/>
                <w:rFonts w:eastAsia="" w:cs="" w:ascii="Calibri" w:hAnsi="Calibri" w:asciiTheme="minorHAnsi" w:cstheme="minorBidi" w:eastAsiaTheme="minorEastAsia" w:hAnsiTheme="minorHAnsi"/>
                <w:sz w:val="22"/>
                <w:szCs w:val="22"/>
              </w:rPr>
              <w:tab/>
            </w:r>
            <w:r>
              <w:rPr>
                <w:rStyle w:val="IndexLink"/>
                <w:rFonts w:cs="Arial"/>
              </w:rPr>
              <w:t>Conclusion</w:t>
            </w:r>
            <w:r>
              <w:rPr>
                <w:webHidden/>
              </w:rPr>
              <w:fldChar w:fldCharType="begin"/>
            </w:r>
            <w:r>
              <w:rPr>
                <w:webHidden/>
              </w:rPr>
              <w:instrText xml:space="preserve">PAGEREF _Toc124768035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124768036">
            <w:r>
              <w:rPr>
                <w:webHidden/>
              </w:rPr>
              <w:fldChar w:fldCharType="begin"/>
            </w:r>
            <w:r>
              <w:rPr>
                <w:webHidden/>
              </w:rPr>
              <w:instrText xml:space="preserve">PAGEREF _Toc124768036 \h</w:instrText>
            </w:r>
            <w:r>
              <w:rPr>
                <w:webHidden/>
              </w:rPr>
              <w:fldChar w:fldCharType="separate"/>
            </w:r>
            <w:r>
              <w:rPr>
                <w:webHidden/>
                <w:rStyle w:val="IndexLink"/>
                <w:vanish w:val="false"/>
              </w:rPr>
              <w:t>Appendix</w:t>
              <w:tab/>
              <w:t>9</w:t>
            </w:r>
            <w:r>
              <w:rPr>
                <w:webHidden/>
              </w:rPr>
              <w:fldChar w:fldCharType="end"/>
            </w:r>
          </w:hyperlink>
        </w:p>
        <w:p>
          <w:pPr>
            <w:pStyle w:val="Contents2"/>
            <w:rPr>
              <w:rFonts w:ascii="Calibri" w:hAnsi="Calibri" w:eastAsia="" w:cs="" w:asciiTheme="minorHAnsi" w:cstheme="minorBidi" w:eastAsiaTheme="minorEastAsia" w:hAnsiTheme="minorHAnsi"/>
              <w:szCs w:val="22"/>
            </w:rPr>
          </w:pPr>
          <w:hyperlink w:anchor="_Toc124768037">
            <w:r>
              <w:rPr>
                <w:webHidden/>
              </w:rPr>
              <w:fldChar w:fldCharType="begin"/>
            </w:r>
            <w:r>
              <w:rPr>
                <w:webHidden/>
              </w:rPr>
              <w:instrText xml:space="preserve">PAGEREF _Toc124768037 \h</w:instrText>
            </w:r>
            <w:r>
              <w:rPr>
                <w:webHidden/>
              </w:rPr>
              <w:fldChar w:fldCharType="separate"/>
            </w:r>
            <w:r>
              <w:rPr>
                <w:webHidden/>
                <w:rStyle w:val="IndexLink"/>
                <w:vanish w:val="false"/>
              </w:rPr>
              <w:t>Organisation policies, procedures and best practices documentation</w:t>
              <w:tab/>
              <w:t>9</w:t>
            </w:r>
            <w:r>
              <w:rPr>
                <w:webHidden/>
              </w:rPr>
              <w:fldChar w:fldCharType="end"/>
            </w:r>
          </w:hyperlink>
          <w:r>
            <w:rPr>
              <w:rStyle w:val="IndexLink"/>
              <w:vanish w:val="false"/>
            </w:rPr>
            <w:fldChar w:fldCharType="end"/>
          </w:r>
        </w:p>
      </w:sdtContent>
    </w:sdt>
    <w:p>
      <w:pPr>
        <w:pStyle w:val="Normal"/>
        <w:rPr>
          <w:rFonts w:ascii="Tahoma" w:hAnsi="Tahoma" w:cs="Tahoma"/>
          <w:sz w:val="48"/>
          <w:szCs w:val="48"/>
        </w:rPr>
      </w:pPr>
      <w:r>
        <w:rPr>
          <w:rFonts w:cs="Tahoma" w:ascii="Tahoma" w:hAnsi="Tahoma"/>
          <w:sz w:val="48"/>
          <w:szCs w:val="48"/>
        </w:rPr>
      </w:r>
    </w:p>
    <w:p>
      <w:pPr>
        <w:pStyle w:val="Normal"/>
        <w:rPr/>
      </w:pPr>
      <w:r>
        <w:rPr/>
      </w:r>
    </w:p>
    <w:p>
      <w:pPr>
        <w:pStyle w:val="Contents2"/>
        <w:rPr>
          <w:rFonts w:eastAsia="Calibri"/>
        </w:rPr>
      </w:pPr>
      <w:r>
        <w:rPr>
          <w:rFonts w:eastAsia="Calibri"/>
        </w:rPr>
      </w:r>
      <w:r>
        <w:br w:type="page"/>
      </w:r>
    </w:p>
    <w:p>
      <w:pPr>
        <w:pStyle w:val="Normal"/>
        <w:overflowPunct w:val="false"/>
        <w:jc w:val="center"/>
        <w:textAlignment w:val="auto"/>
        <w:rPr>
          <w:rFonts w:eastAsia="Calibri" w:cs="Arial"/>
          <w:color w:val="1F4E79" w:themeColor="accent1" w:themeShade="80"/>
          <w:sz w:val="36"/>
          <w:lang w:val="en-AU"/>
        </w:rPr>
      </w:pPr>
      <w:r>
        <w:rPr>
          <w:rFonts w:eastAsia="Calibri" w:cs="Arial"/>
          <w:color w:val="1F4E79" w:themeColor="accent1" w:themeShade="80"/>
          <w:sz w:val="36"/>
          <w:lang w:val="en-AU"/>
        </w:rPr>
        <w:t>Remove all blue text once your report is completed. The blue text is intended at giving you some pointers for the document content.</w:t>
      </w:r>
    </w:p>
    <w:p>
      <w:pPr>
        <w:pStyle w:val="Heading1"/>
        <w:rPr/>
      </w:pPr>
      <w:r>
        <w:rPr/>
      </w:r>
    </w:p>
    <w:p>
      <w:pPr>
        <w:pStyle w:val="Heading1"/>
        <w:rPr/>
      </w:pPr>
      <w:bookmarkStart w:id="0" w:name="_Toc124768025"/>
      <w:bookmarkStart w:id="1" w:name="_Toc83251850"/>
      <w:bookmarkStart w:id="2" w:name="_Toc515785685"/>
      <w:r>
        <w:rPr/>
        <w:t>1</w:t>
      </w:r>
      <w:bookmarkEnd w:id="2"/>
      <w:r>
        <w:rPr/>
        <w:tab/>
      </w:r>
      <w:bookmarkEnd w:id="1"/>
      <w:r>
        <w:rPr/>
        <w:t>Abstract</w:t>
      </w:r>
      <w:bookmarkEnd w:id="0"/>
    </w:p>
    <w:p>
      <w:pPr>
        <w:pStyle w:val="Normal"/>
        <w:rPr>
          <w:rFonts w:cs="Arial"/>
          <w:color w:val="000000"/>
          <w:szCs w:val="22"/>
        </w:rPr>
      </w:pPr>
      <w:r>
        <w:rPr>
          <w:rFonts w:cs="Arial"/>
          <w:color w:val="000000"/>
          <w:szCs w:val="22"/>
        </w:rPr>
      </w:r>
    </w:p>
    <w:p>
      <w:pPr>
        <w:pStyle w:val="Normal"/>
        <w:rPr>
          <w:rStyle w:val="Eop"/>
          <w:color w:val="1F4E79" w:themeColor="accent1" w:themeShade="80"/>
        </w:rPr>
      </w:pPr>
      <w:r>
        <w:rPr>
          <w:color w:val="1F4E79" w:themeColor="accent1" w:themeShade="80"/>
        </w:rPr>
      </w:r>
    </w:p>
    <w:p>
      <w:pPr>
        <w:pStyle w:val="Normal"/>
        <w:rPr>
          <w:rStyle w:val="Eop"/>
          <w:color w:val="1F4E79" w:themeColor="accent1" w:themeShade="80"/>
        </w:rPr>
      </w:pPr>
      <w:r>
        <w:rPr>
          <w:rStyle w:val="Eop"/>
          <w:color w:val="1F4E79" w:themeColor="accent1" w:themeShade="80"/>
        </w:rPr>
        <w:t>Write the abstract after you have completed the report.</w:t>
      </w:r>
    </w:p>
    <w:p>
      <w:pPr>
        <w:pStyle w:val="Normal"/>
        <w:rPr>
          <w:rStyle w:val="Eop"/>
          <w:color w:val="1F4E79" w:themeColor="accent1" w:themeShade="80"/>
        </w:rPr>
      </w:pPr>
      <w:r>
        <w:rPr>
          <w:color w:val="1F4E79" w:themeColor="accent1" w:themeShade="80"/>
        </w:rPr>
      </w:r>
    </w:p>
    <w:p>
      <w:pPr>
        <w:pStyle w:val="Normal"/>
        <w:rPr>
          <w:rStyle w:val="Eop"/>
          <w:color w:val="1F4E79" w:themeColor="accent1" w:themeShade="80"/>
        </w:rPr>
      </w:pPr>
      <w:r>
        <w:rPr>
          <w:rStyle w:val="Eop"/>
          <w:color w:val="1F4E79" w:themeColor="accent1" w:themeShade="80"/>
        </w:rPr>
        <w:t xml:space="preserve">The abstract </w:t>
      </w:r>
      <w:r>
        <w:rPr>
          <w:rStyle w:val="Eop"/>
          <w:color w:val="1F4E79" w:themeColor="accent1" w:themeShade="80"/>
          <w:u w:val="single"/>
        </w:rPr>
        <w:t>is not</w:t>
      </w:r>
      <w:r>
        <w:rPr>
          <w:rStyle w:val="Eop"/>
          <w:color w:val="1F4E79" w:themeColor="accent1" w:themeShade="80"/>
        </w:rPr>
        <w:t xml:space="preserve"> an introduction. The abstract must include a detailed summary of findings and recommendations.</w:t>
      </w:r>
    </w:p>
    <w:p>
      <w:pPr>
        <w:pStyle w:val="Normal"/>
        <w:overflowPunct w:val="false"/>
        <w:textAlignment w:val="auto"/>
        <w:rPr>
          <w:b/>
          <w:kern w:val="2"/>
          <w:sz w:val="32"/>
        </w:rPr>
      </w:pPr>
      <w:r>
        <w:rPr>
          <w:b/>
          <w:kern w:val="2"/>
          <w:sz w:val="32"/>
        </w:rPr>
      </w:r>
      <w:bookmarkStart w:id="3" w:name="_Toc83251851"/>
      <w:bookmarkStart w:id="4" w:name="_Toc83251851"/>
      <w:r>
        <w:br w:type="page"/>
      </w:r>
    </w:p>
    <w:p>
      <w:pPr>
        <w:pStyle w:val="Heading1"/>
        <w:rPr/>
      </w:pPr>
      <w:bookmarkStart w:id="5" w:name="_Toc124768026"/>
      <w:bookmarkStart w:id="6" w:name="_Toc515785691"/>
      <w:r>
        <w:rPr/>
        <w:t>2</w:t>
      </w:r>
      <w:bookmarkEnd w:id="6"/>
      <w:r>
        <w:rPr/>
        <w:tab/>
      </w:r>
      <w:bookmarkEnd w:id="4"/>
      <w:r>
        <w:rPr/>
        <w:t>Introduction</w:t>
      </w:r>
      <w:bookmarkEnd w:id="5"/>
    </w:p>
    <w:p>
      <w:pPr>
        <w:pStyle w:val="Normal"/>
        <w:rPr>
          <w:rStyle w:val="Eop"/>
          <w:rFonts w:cs="Arial"/>
          <w:szCs w:val="22"/>
        </w:rPr>
      </w:pPr>
      <w:r>
        <w:rPr>
          <w:rFonts w:cs="Arial"/>
          <w:szCs w:val="22"/>
        </w:rPr>
      </w:r>
    </w:p>
    <w:p>
      <w:pPr>
        <w:pStyle w:val="TextBody"/>
        <w:rPr>
          <w:color w:val="1F4E79" w:themeColor="accent1" w:themeShade="80"/>
        </w:rPr>
      </w:pPr>
      <w:r>
        <w:rPr>
          <w:rStyle w:val="Eop"/>
          <w:b/>
          <w:bCs/>
          <w:color w:val="000000" w:themeShade="80"/>
        </w:rPr>
        <w:t>The legislation and policies report for Turtle Movers is an in depth document that outlines the company's compliance with relevant laws, regulations, and industry standards. Turtle Movers is a small removalist family business that operates across Australia with a fleet of 50 trucks. The company operates exclusively online, and its only physical presence is its headquarters in Sydney, NSW.</w:t>
      </w:r>
    </w:p>
    <w:p>
      <w:pPr>
        <w:pStyle w:val="TextBody"/>
        <w:rPr>
          <w:b/>
          <w:bCs/>
          <w:color w:val="000000"/>
        </w:rPr>
      </w:pPr>
      <w:r>
        <w:rPr>
          <w:b/>
          <w:bCs/>
          <w:color w:val="000000"/>
        </w:rPr>
        <w:t>Given the ever increasing threat of cyber attacks and data breaches, it is important for Turtle Movers to ensure the security and privacy of its clients' data. The company's management has acknowledged concerns about its online security and cyber legislation compliance. The report will examine Turtle Movers' policies and procedures for safeguarding client data and complying with relevant legislation. By conducting a thorough review of the company's policies and procedures, the report aims to identify any areas where Turtle Movers may be at risk of non-compliance and make recommendations for improving its overall compliance.</w:t>
      </w:r>
    </w:p>
    <w:p>
      <w:pPr>
        <w:pStyle w:val="Normal"/>
        <w:rPr>
          <w:b/>
          <w:bCs/>
          <w:color w:val="000000" w:themeShade="80"/>
        </w:rPr>
      </w:pPr>
      <w:r>
        <w:rPr>
          <w:b/>
          <w:bCs/>
          <w:color w:val="000000" w:themeShade="80"/>
        </w:rPr>
      </w:r>
    </w:p>
    <w:p>
      <w:pPr>
        <w:pStyle w:val="Normal"/>
        <w:rPr>
          <w:rStyle w:val="Eop"/>
          <w:color w:val="1F4E79" w:themeColor="accent1" w:themeShade="80"/>
        </w:rPr>
      </w:pPr>
      <w:r>
        <w:rPr>
          <w:color w:val="1F4E79" w:themeColor="accent1" w:themeShade="80"/>
        </w:rPr>
      </w:r>
    </w:p>
    <w:p>
      <w:pPr>
        <w:pStyle w:val="Heading1"/>
        <w:rPr/>
      </w:pPr>
      <w:bookmarkStart w:id="7" w:name="_Toc124768027"/>
      <w:bookmarkStart w:id="8" w:name="_Toc83251852"/>
      <w:r>
        <w:rPr>
          <w:rStyle w:val="Eop"/>
        </w:rPr>
        <w:t>3</w:t>
        <w:tab/>
      </w:r>
      <w:bookmarkEnd w:id="8"/>
      <w:r>
        <w:rPr>
          <w:rStyle w:val="Eop"/>
        </w:rPr>
        <w:t>Cyber Security Legislative and Regulatory Review</w:t>
      </w:r>
      <w:bookmarkEnd w:id="7"/>
    </w:p>
    <w:p>
      <w:pPr>
        <w:pStyle w:val="Normal"/>
        <w:rPr>
          <w:rStyle w:val="Eop"/>
          <w:rFonts w:cs="Arial"/>
          <w:color w:val="1F4E79" w:themeColor="accent1" w:themeShade="80"/>
        </w:rPr>
      </w:pPr>
      <w:r>
        <w:rPr>
          <w:rFonts w:cs="Arial"/>
          <w:color w:val="1F4E79" w:themeColor="accent1" w:themeShade="80"/>
        </w:rPr>
      </w:r>
    </w:p>
    <w:p>
      <w:pPr>
        <w:pStyle w:val="ListParagraph"/>
        <w:widowControl/>
        <w:suppressAutoHyphens w:val="false"/>
        <w:spacing w:lineRule="auto" w:line="360"/>
        <w:ind w:left="0" w:hanging="0"/>
        <w:rPr>
          <w:b/>
          <w:bCs/>
          <w:color w:val="000000"/>
        </w:rPr>
      </w:pPr>
      <w:r>
        <w:rPr>
          <w:b/>
          <w:bCs/>
          <w:color w:val="000000"/>
        </w:rPr>
        <w:t>Turtle movers operates in removal and logistics sector which involves the company collecting and relocating the goods and personal items of their customers to wherever they are moving to whether it be across cities or states.</w:t>
      </w:r>
    </w:p>
    <w:p>
      <w:pPr>
        <w:pStyle w:val="ListParagraph"/>
        <w:ind w:left="0" w:hanging="0"/>
        <w:rPr>
          <w:rStyle w:val="Eop"/>
          <w:rFonts w:cs="Arial"/>
        </w:rPr>
      </w:pPr>
      <w:r>
        <w:rPr>
          <w:rFonts w:cs="Arial"/>
        </w:rPr>
      </w:r>
    </w:p>
    <w:tbl>
      <w:tblPr>
        <w:tblStyle w:val="TableGrid"/>
        <w:tblW w:w="9208" w:type="dxa"/>
        <w:jc w:val="left"/>
        <w:tblInd w:w="-3" w:type="dxa"/>
        <w:tblLayout w:type="fixed"/>
        <w:tblCellMar>
          <w:top w:w="0" w:type="dxa"/>
          <w:left w:w="108" w:type="dxa"/>
          <w:bottom w:w="0" w:type="dxa"/>
          <w:right w:w="108" w:type="dxa"/>
        </w:tblCellMar>
        <w:tblLook w:firstRow="1" w:noVBand="1" w:lastRow="0" w:firstColumn="1" w:lastColumn="0" w:noHBand="0" w:val="04a0"/>
      </w:tblPr>
      <w:tblGrid>
        <w:gridCol w:w="1963"/>
        <w:gridCol w:w="430"/>
        <w:gridCol w:w="431"/>
        <w:gridCol w:w="430"/>
        <w:gridCol w:w="5954"/>
      </w:tblGrid>
      <w:tr>
        <w:trPr>
          <w:trHeight w:val="439" w:hRule="atLeast"/>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SECTOR</w:t>
            </w:r>
          </w:p>
        </w:tc>
        <w:tc>
          <w:tcPr>
            <w:tcW w:w="430" w:type="dxa"/>
            <w:tcBorders>
              <w:top w:val="nil"/>
              <w:left w:val="nil"/>
              <w:bottom w:val="nil"/>
              <w:right w:val="nil"/>
            </w:tcBorders>
          </w:tcPr>
          <w:p>
            <w:pPr>
              <w:pStyle w:val="Normal"/>
              <w:widowControl w:val="false"/>
              <w:spacing w:before="0" w:after="0"/>
              <w:jc w:val="left"/>
              <w:rPr>
                <w:rFonts w:eastAsia="Times New Roman" w:cs="Times New Roman"/>
                <w:kern w:val="0"/>
                <w:szCs w:val="20"/>
                <w:lang w:bidi="ar-SA"/>
              </w:rPr>
            </w:pPr>
            <w:r>
              <w:rPr>
                <w:rFonts w:eastAsia="Times New Roman" w:cs="Times New Roman"/>
                <w:kern w:val="0"/>
                <w:szCs w:val="20"/>
                <w:lang w:bidi="ar-SA"/>
              </w:rPr>
            </w:r>
          </w:p>
        </w:tc>
        <w:tc>
          <w:tcPr>
            <w:tcW w:w="431" w:type="dxa"/>
            <w:tcBorders>
              <w:top w:val="nil"/>
              <w:left w:val="nil"/>
              <w:bottom w:val="nil"/>
              <w:right w:val="nil"/>
            </w:tcBorders>
          </w:tcPr>
          <w:p>
            <w:pPr>
              <w:pStyle w:val="Normal"/>
              <w:widowControl w:val="false"/>
              <w:spacing w:before="0" w:after="0"/>
              <w:jc w:val="left"/>
              <w:rPr>
                <w:rFonts w:eastAsia="Times New Roman" w:cs="Times New Roman"/>
                <w:kern w:val="0"/>
                <w:szCs w:val="20"/>
                <w:lang w:bidi="ar-SA"/>
              </w:rPr>
            </w:pPr>
            <w:r>
              <w:rPr>
                <w:rFonts w:eastAsia="Times New Roman" w:cs="Times New Roman"/>
                <w:kern w:val="0"/>
                <w:szCs w:val="20"/>
                <w:lang w:bidi="ar-SA"/>
              </w:rPr>
            </w:r>
          </w:p>
        </w:tc>
        <w:tc>
          <w:tcPr>
            <w:tcW w:w="430" w:type="dxa"/>
            <w:tcBorders>
              <w:top w:val="nil"/>
              <w:left w:val="nil"/>
              <w:bottom w:val="nil"/>
              <w:right w:val="nil"/>
            </w:tcBorders>
          </w:tcPr>
          <w:p>
            <w:pPr>
              <w:pStyle w:val="Normal"/>
              <w:widowControl w:val="false"/>
              <w:spacing w:before="0" w:after="0"/>
              <w:jc w:val="left"/>
              <w:rPr>
                <w:rFonts w:eastAsia="Times New Roman" w:cs="Times New Roman"/>
                <w:kern w:val="0"/>
                <w:szCs w:val="20"/>
                <w:lang w:bidi="ar-SA"/>
              </w:rPr>
            </w:pPr>
            <w:r>
              <w:rPr>
                <w:rFonts w:eastAsia="Times New Roman" w:cs="Times New Roman"/>
                <w:kern w:val="0"/>
                <w:szCs w:val="20"/>
                <w:lang w:bidi="ar-SA"/>
              </w:rPr>
            </w:r>
          </w:p>
        </w:tc>
        <w:tc>
          <w:tcPr>
            <w:tcW w:w="5954" w:type="dxa"/>
            <w:tcBorders>
              <w:top w:val="nil"/>
              <w:left w:val="nil"/>
              <w:bottom w:val="nil"/>
              <w:right w:val="nil"/>
            </w:tcBorders>
          </w:tcPr>
          <w:p>
            <w:pPr>
              <w:pStyle w:val="Normal"/>
              <w:widowControl w:val="false"/>
              <w:spacing w:before="0" w:after="0"/>
              <w:jc w:val="left"/>
              <w:rPr>
                <w:rFonts w:eastAsia="Times New Roman" w:cs="Times New Roman"/>
                <w:kern w:val="0"/>
                <w:szCs w:val="20"/>
                <w:lang w:bidi="ar-SA"/>
              </w:rPr>
            </w:pPr>
            <w:r>
              <w:rPr>
                <w:rFonts w:eastAsia="Times New Roman" w:cs="Times New Roman"/>
                <w:kern w:val="0"/>
                <w:szCs w:val="20"/>
                <w:lang w:bidi="ar-SA"/>
              </w:rPr>
            </w:r>
          </w:p>
        </w:tc>
      </w:tr>
      <w:tr>
        <w:trPr>
          <w:trHeight w:val="439" w:hRule="atLeast"/>
        </w:trPr>
        <w:tc>
          <w:tcPr>
            <w:tcW w:w="1963"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CYBER SECURITY and related</w:t>
            </w:r>
          </w:p>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LEGISLATION</w:t>
            </w:r>
          </w:p>
        </w:tc>
        <w:tc>
          <w:tcPr>
            <w:tcW w:w="1291" w:type="dxa"/>
            <w:gridSpan w:val="3"/>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SCOPE</w:t>
            </w:r>
          </w:p>
        </w:tc>
        <w:tc>
          <w:tcPr>
            <w:tcW w:w="5954"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BUSINESS AREAS/ACTIVITIES AFFECTED</w:t>
            </w:r>
          </w:p>
        </w:tc>
      </w:tr>
      <w:tr>
        <w:trPr>
          <w:trHeight w:val="1146" w:hRule="atLeast"/>
          <w:cantSplit w:val="true"/>
        </w:trPr>
        <w:tc>
          <w:tcPr>
            <w:tcW w:w="1963"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Fonts w:cs="Arial"/>
                <w:b/>
                <w:sz w:val="20"/>
              </w:rPr>
            </w:r>
          </w:p>
        </w:tc>
        <w:tc>
          <w:tcPr>
            <w:tcW w:w="430"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right="113" w:hanging="0"/>
              <w:jc w:val="left"/>
              <w:rPr>
                <w:rStyle w:val="Eop"/>
                <w:rFonts w:cs="Arial"/>
                <w:b/>
                <w:sz w:val="18"/>
              </w:rPr>
            </w:pPr>
            <w:r>
              <w:rPr>
                <w:rStyle w:val="Eop"/>
                <w:rFonts w:eastAsia="Times New Roman" w:cs="Arial"/>
                <w:b/>
                <w:kern w:val="0"/>
                <w:sz w:val="18"/>
                <w:szCs w:val="20"/>
                <w:lang w:bidi="ar-SA"/>
              </w:rPr>
              <w:t>Federal</w:t>
            </w:r>
          </w:p>
        </w:tc>
        <w:tc>
          <w:tcPr>
            <w:tcW w:w="431"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right="113" w:hanging="0"/>
              <w:jc w:val="left"/>
              <w:rPr>
                <w:rStyle w:val="Eop"/>
                <w:rFonts w:cs="Arial"/>
                <w:b/>
                <w:sz w:val="18"/>
              </w:rPr>
            </w:pPr>
            <w:r>
              <w:rPr>
                <w:rStyle w:val="Eop"/>
                <w:rFonts w:eastAsia="Times New Roman" w:cs="Arial"/>
                <w:b/>
                <w:kern w:val="0"/>
                <w:sz w:val="18"/>
                <w:szCs w:val="20"/>
                <w:lang w:bidi="ar-SA"/>
              </w:rPr>
              <w:t>State</w:t>
            </w:r>
          </w:p>
        </w:tc>
        <w:tc>
          <w:tcPr>
            <w:tcW w:w="430"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right="113" w:hanging="0"/>
              <w:jc w:val="left"/>
              <w:rPr>
                <w:rStyle w:val="Eop"/>
                <w:rFonts w:cs="Arial"/>
                <w:b/>
                <w:sz w:val="18"/>
              </w:rPr>
            </w:pPr>
            <w:r>
              <w:rPr>
                <w:rStyle w:val="Eop"/>
                <w:rFonts w:eastAsia="Times New Roman" w:cs="Arial"/>
                <w:b/>
                <w:kern w:val="0"/>
                <w:sz w:val="18"/>
                <w:szCs w:val="20"/>
                <w:lang w:bidi="ar-SA"/>
              </w:rPr>
              <w:t>Territory</w:t>
            </w:r>
          </w:p>
        </w:tc>
        <w:tc>
          <w:tcPr>
            <w:tcW w:w="5954"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Fonts w:cs="Arial"/>
                <w:b/>
                <w:sz w:val="20"/>
              </w:rPr>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 xml:space="preserve">Privacy Act 1988 (Cth)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X</w:t>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All areas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 xml:space="preserve">Australian Privacy Principles (APPs)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X</w:t>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All Areas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 xml:space="preserve">Electronic Transactions Act 1999 (Cth)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X</w:t>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Online payments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 xml:space="preserve">Cybercrime Act 2001 (Cth)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X</w:t>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Cyber crime and computer related offences</w:t>
            </w:r>
          </w:p>
        </w:tc>
      </w:tr>
      <w:tr>
        <w:trPr/>
        <w:tc>
          <w:tcPr>
            <w:tcW w:w="196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t>Notifiable Data Breach (NDB)</w:t>
            </w:r>
          </w:p>
        </w:tc>
        <w:tc>
          <w:tcPr>
            <w:tcW w:w="430"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t>X</w:t>
            </w:r>
          </w:p>
        </w:tc>
        <w:tc>
          <w:tcPr>
            <w:tcW w:w="431"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430"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95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t>All areas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 xml:space="preserve">Crimes Act 1900 (NSW)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X</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Cyber crime and computer related offences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 xml:space="preserve">Privacy and Personal Information Protection Act 1998 (NSW)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X</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All areas</w:t>
            </w:r>
          </w:p>
        </w:tc>
      </w:tr>
    </w:tbl>
    <w:p>
      <w:pPr>
        <w:pStyle w:val="Normal"/>
        <w:rPr>
          <w:rStyle w:val="Eop"/>
          <w:rFonts w:cs="Arial"/>
        </w:rPr>
      </w:pPr>
      <w:r>
        <w:rPr>
          <w:rFonts w:cs="Arial"/>
        </w:rPr>
      </w:r>
    </w:p>
    <w:p>
      <w:pPr>
        <w:pStyle w:val="ListParagraph"/>
        <w:widowControl/>
        <w:suppressAutoHyphens w:val="false"/>
        <w:spacing w:lineRule="auto" w:line="360"/>
        <w:ind w:left="0" w:hanging="0"/>
        <w:rPr>
          <w:rStyle w:val="Eop"/>
          <w:rFonts w:cs="Arial"/>
          <w:b/>
          <w:bCs/>
          <w:color w:val="000000" w:themeShade="80"/>
          <w:lang w:val="en-US"/>
        </w:rPr>
      </w:pPr>
      <w:r>
        <w:rPr>
          <w:rFonts w:cs="Arial"/>
          <w:b/>
          <w:bCs/>
          <w:color w:val="000000" w:themeShade="80"/>
          <w:lang w:val="en-US"/>
        </w:rPr>
      </w:r>
    </w:p>
    <w:p>
      <w:pPr>
        <w:pStyle w:val="ListParagraph"/>
        <w:widowControl/>
        <w:suppressAutoHyphens w:val="false"/>
        <w:spacing w:lineRule="auto" w:line="360"/>
        <w:ind w:left="0" w:hanging="0"/>
        <w:rPr>
          <w:rStyle w:val="Eop"/>
          <w:rFonts w:cs="Arial"/>
          <w:b/>
          <w:bCs/>
          <w:color w:val="000000" w:themeShade="80"/>
          <w:lang w:val="en-US"/>
        </w:rPr>
      </w:pPr>
      <w:r>
        <w:rPr>
          <w:rFonts w:cs="Arial"/>
          <w:b/>
          <w:bCs/>
          <w:color w:val="000000" w:themeShade="80"/>
          <w:lang w:val="en-US"/>
        </w:rPr>
      </w:r>
    </w:p>
    <w:p>
      <w:pPr>
        <w:pStyle w:val="ListParagraph"/>
        <w:widowControl/>
        <w:suppressAutoHyphens w:val="false"/>
        <w:spacing w:lineRule="auto" w:line="360"/>
        <w:ind w:left="0" w:hanging="0"/>
        <w:rPr/>
      </w:pPr>
      <w:r>
        <w:rPr>
          <w:rStyle w:val="Eop"/>
          <w:rFonts w:cs="Arial"/>
          <w:b/>
          <w:bCs/>
          <w:color w:val="000000" w:themeShade="80"/>
          <w:lang w:val="en-US"/>
        </w:rPr>
        <w:t>Since Turtle Movers only operates in Australia, there are not any international legislation’s they must abide by. However they must follow the PCI-DSS (Payment Card Industry Data Security Standard). The PCI-DSS is not officially an international legislation but a global standard in regards to online payment so it will be included in the table below.</w:t>
      </w:r>
    </w:p>
    <w:p>
      <w:pPr>
        <w:pStyle w:val="ListParagraph"/>
        <w:widowControl/>
        <w:suppressAutoHyphens w:val="false"/>
        <w:spacing w:lineRule="auto" w:line="360"/>
        <w:ind w:left="0" w:hanging="0"/>
        <w:rPr>
          <w:rStyle w:val="Eop"/>
          <w:rFonts w:cs="Arial"/>
          <w:color w:val="FF0000"/>
        </w:rPr>
      </w:pPr>
      <w:r>
        <w:rPr>
          <w:rFonts w:cs="Arial"/>
          <w:color w:val="FF0000"/>
        </w:rPr>
      </w:r>
    </w:p>
    <w:tbl>
      <w:tblPr>
        <w:tblStyle w:val="TableGrid"/>
        <w:tblW w:w="9639" w:type="dxa"/>
        <w:jc w:val="left"/>
        <w:tblInd w:w="-3" w:type="dxa"/>
        <w:tblLayout w:type="fixed"/>
        <w:tblCellMar>
          <w:top w:w="0" w:type="dxa"/>
          <w:left w:w="108" w:type="dxa"/>
          <w:bottom w:w="0" w:type="dxa"/>
          <w:right w:w="108" w:type="dxa"/>
        </w:tblCellMar>
        <w:tblLook w:firstRow="1" w:noVBand="1" w:lastRow="0" w:firstColumn="1" w:lastColumn="0" w:noHBand="0" w:val="04a0"/>
      </w:tblPr>
      <w:tblGrid>
        <w:gridCol w:w="2118"/>
        <w:gridCol w:w="2667"/>
        <w:gridCol w:w="4854"/>
      </w:tblGrid>
      <w:tr>
        <w:trPr>
          <w:trHeight w:val="371" w:hRule="atLeast"/>
        </w:trPr>
        <w:tc>
          <w:tcPr>
            <w:tcW w:w="2118"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INTERNATIONAL</w:t>
            </w:r>
          </w:p>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 xml:space="preserve"> </w:t>
            </w:r>
          </w:p>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CYBER SECURITY</w:t>
            </w:r>
          </w:p>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LEGISLATION</w:t>
            </w:r>
          </w:p>
        </w:tc>
        <w:tc>
          <w:tcPr>
            <w:tcW w:w="2667"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BUSINESS AREAS/ACTIVITIES AFFECTED</w:t>
            </w:r>
          </w:p>
        </w:tc>
        <w:tc>
          <w:tcPr>
            <w:tcW w:w="4854"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IMPACT on DATA SECURITY</w:t>
            </w:r>
          </w:p>
        </w:tc>
      </w:tr>
      <w:tr>
        <w:trPr>
          <w:trHeight w:val="1414" w:hRule="atLeast"/>
          <w:cantSplit w:val="true"/>
        </w:trPr>
        <w:tc>
          <w:tcPr>
            <w:tcW w:w="2118"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Fonts w:cs="Arial"/>
                <w:b/>
                <w:sz w:val="20"/>
              </w:rPr>
            </w:r>
          </w:p>
        </w:tc>
        <w:tc>
          <w:tcPr>
            <w:tcW w:w="2667"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Fonts w:cs="Arial"/>
                <w:b/>
                <w:sz w:val="20"/>
              </w:rPr>
            </w:r>
          </w:p>
        </w:tc>
        <w:tc>
          <w:tcPr>
            <w:tcW w:w="4854" w:type="dxa"/>
            <w:vMerge w:val="continue"/>
            <w:tcBorders>
              <w:top w:val="single" w:sz="2" w:space="0" w:color="808080"/>
              <w:left w:val="single" w:sz="2" w:space="0" w:color="808080"/>
              <w:bottom w:val="single" w:sz="2" w:space="0" w:color="808080"/>
              <w:right w:val="single" w:sz="2" w:space="0" w:color="808080"/>
            </w:tcBorders>
            <w:textDirection w:val="btLr"/>
          </w:tcPr>
          <w:p>
            <w:pPr>
              <w:pStyle w:val="Normal"/>
              <w:widowControl w:val="false"/>
              <w:spacing w:before="0" w:after="0"/>
              <w:ind w:right="113" w:hanging="0"/>
              <w:jc w:val="left"/>
              <w:rPr>
                <w:rStyle w:val="Eop"/>
                <w:rFonts w:cs="Arial"/>
                <w:b/>
                <w:sz w:val="18"/>
              </w:rPr>
            </w:pPr>
            <w:r>
              <w:rPr>
                <w:rFonts w:cs="Arial"/>
                <w:b/>
                <w:sz w:val="18"/>
              </w:rPr>
            </w:r>
          </w:p>
        </w:tc>
      </w:tr>
      <w:tr>
        <w:trPr>
          <w:trHeight w:val="200" w:hRule="atLeast"/>
        </w:trPr>
        <w:tc>
          <w:tcPr>
            <w:tcW w:w="21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PCI-DSS</w:t>
            </w:r>
          </w:p>
        </w:tc>
        <w:tc>
          <w:tcPr>
            <w:tcW w:w="2667"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eastAsia="Times New Roman" w:cs="Arial"/>
                <w:b/>
                <w:bCs/>
                <w:kern w:val="0"/>
                <w:szCs w:val="20"/>
                <w:lang w:bidi="ar-SA"/>
              </w:rPr>
              <w:t>Online payments</w:t>
            </w:r>
          </w:p>
        </w:tc>
        <w:tc>
          <w:tcPr>
            <w:tcW w:w="4854"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Style w:val="Eop"/>
                <w:rFonts w:eastAsia="Times New Roman" w:cs="Arial"/>
                <w:b/>
                <w:bCs/>
                <w:kern w:val="0"/>
                <w:szCs w:val="20"/>
                <w:lang w:bidi="ar-SA"/>
              </w:rPr>
              <w:t>Data security of payment card information</w:t>
            </w:r>
            <w:r>
              <w:rPr>
                <w:rStyle w:val="Eop"/>
                <w:rFonts w:eastAsia="Times New Roman" w:cs="Arial"/>
                <w:kern w:val="0"/>
                <w:szCs w:val="20"/>
                <w:lang w:bidi="ar-SA"/>
              </w:rPr>
              <w:t xml:space="preserve"> </w:t>
            </w:r>
          </w:p>
        </w:tc>
      </w:tr>
    </w:tbl>
    <w:p>
      <w:pPr>
        <w:pStyle w:val="ListParagraph"/>
        <w:widowControl/>
        <w:suppressAutoHyphens w:val="false"/>
        <w:spacing w:lineRule="auto" w:line="360"/>
        <w:ind w:left="0" w:hanging="0"/>
        <w:rPr>
          <w:rStyle w:val="Eop"/>
          <w:rFonts w:eastAsia="Times New Roman" w:cs="Arial"/>
          <w:b/>
          <w:kern w:val="0"/>
          <w:szCs w:val="20"/>
          <w:lang w:val="en-GB" w:eastAsia="en-US" w:bidi="ar-SA"/>
        </w:rPr>
      </w:pPr>
      <w:r>
        <w:rPr>
          <w:rFonts w:eastAsia="Times New Roman" w:cs="Arial"/>
          <w:b/>
          <w:kern w:val="0"/>
          <w:szCs w:val="20"/>
          <w:lang w:val="en-GB" w:eastAsia="en-US" w:bidi="ar-SA"/>
        </w:rPr>
      </w:r>
    </w:p>
    <w:p>
      <w:pPr>
        <w:pStyle w:val="ListParagraph"/>
        <w:widowControl/>
        <w:suppressAutoHyphens w:val="false"/>
        <w:spacing w:lineRule="auto" w:line="360"/>
        <w:ind w:left="0" w:hanging="0"/>
        <w:rPr>
          <w:rStyle w:val="Eop"/>
          <w:rFonts w:cs="Arial"/>
          <w:color w:val="1F4E79" w:themeColor="accent1" w:themeShade="80"/>
        </w:rPr>
      </w:pPr>
      <w:r>
        <w:rPr>
          <w:rFonts w:cs="Arial"/>
          <w:color w:val="1F4E79" w:themeColor="accent1" w:themeShade="80"/>
        </w:rPr>
      </w:r>
    </w:p>
    <w:p>
      <w:pPr>
        <w:pStyle w:val="ListParagraph"/>
        <w:widowControl/>
        <w:suppressAutoHyphens w:val="false"/>
        <w:spacing w:lineRule="auto" w:line="360"/>
        <w:ind w:left="0" w:hanging="0"/>
        <w:rPr>
          <w:rFonts w:cs="Arial"/>
          <w:color w:val="1F4E79" w:themeColor="accent1" w:themeShade="80"/>
        </w:rPr>
      </w:pPr>
      <w:r>
        <w:rPr>
          <w:rStyle w:val="Eop"/>
          <w:rFonts w:cs="Arial"/>
          <w:b/>
          <w:bCs/>
          <w:color w:val="000000" w:themeShade="80"/>
        </w:rPr>
        <w:t xml:space="preserve">One example of an interdependency between different legislative instruments is the relationship between the Privacy Act 1988 (Cth) and the Notifiable Data Breaches (NDB) scheme. The Privacy Act outlines the requirements for how businesses handle personal information, while the NDB scheme requires businesses to report eligible data breaches and notify affected individuals of the breach. These two work together to ensure that businesses are held accountable for protecting the personal information they collect and use, and to provide individuals with greater transparency and control over their personal information that businesses collect. </w:t>
      </w:r>
    </w:p>
    <w:p>
      <w:pPr>
        <w:pStyle w:val="ListParagraph"/>
        <w:widowControl/>
        <w:suppressAutoHyphens w:val="false"/>
        <w:spacing w:lineRule="auto" w:line="360"/>
        <w:ind w:left="0" w:hanging="0"/>
        <w:rPr>
          <w:rStyle w:val="Eop"/>
          <w:rFonts w:cs="Arial"/>
          <w:color w:val="1F4E79" w:themeColor="accent1" w:themeShade="80"/>
        </w:rPr>
      </w:pPr>
      <w:r>
        <w:rPr>
          <w:rFonts w:cs="Arial"/>
          <w:color w:val="1F4E79" w:themeColor="accent1" w:themeShade="80"/>
        </w:rPr>
      </w:r>
    </w:p>
    <w:p>
      <w:pPr>
        <w:pStyle w:val="ListParagraph"/>
        <w:widowControl/>
        <w:suppressAutoHyphens w:val="false"/>
        <w:spacing w:lineRule="auto" w:line="360"/>
        <w:ind w:left="0" w:hanging="0"/>
        <w:rPr>
          <w:rFonts w:cs="Arial"/>
          <w:color w:val="1F4E79" w:themeColor="accent1" w:themeShade="80"/>
        </w:rPr>
      </w:pPr>
      <w:r>
        <w:rPr>
          <w:rStyle w:val="Eop"/>
          <w:rFonts w:cs="Arial"/>
          <w:b/>
          <w:bCs/>
          <w:color w:val="000000" w:themeShade="80"/>
        </w:rPr>
        <w:t xml:space="preserve">The Office of the Australian Information Commissioner (OAIC) is a key regulator that has a significant impact on the security of Turtle Movers' business data operations. The OAIC is responsible for enforcing the Privacy Act and the NDB, and can investigate and impose penalties breach their obligations under these instruments. Therefore, it is important for Turtle Movers to ensure that they comply with these legislation's to avoid potential fines or have the business shut down. </w:t>
      </w:r>
    </w:p>
    <w:p>
      <w:pPr>
        <w:pStyle w:val="ListParagraph"/>
        <w:widowControl/>
        <w:suppressAutoHyphens w:val="false"/>
        <w:spacing w:lineRule="auto" w:line="360"/>
        <w:ind w:left="0" w:hanging="0"/>
        <w:rPr>
          <w:rStyle w:val="Eop"/>
          <w:rFonts w:cs="Arial"/>
          <w:color w:val="1F4E79" w:themeColor="accent1" w:themeShade="80"/>
        </w:rPr>
      </w:pPr>
      <w:r>
        <w:rPr>
          <w:rFonts w:cs="Arial"/>
          <w:color w:val="1F4E79" w:themeColor="accent1" w:themeShade="80"/>
        </w:rPr>
      </w:r>
    </w:p>
    <w:p>
      <w:pPr>
        <w:pStyle w:val="ListParagraph"/>
        <w:widowControl/>
        <w:suppressAutoHyphens w:val="false"/>
        <w:spacing w:lineRule="auto" w:line="360"/>
        <w:ind w:left="0" w:hanging="0"/>
        <w:rPr>
          <w:rFonts w:cs="Arial"/>
          <w:b/>
          <w:bCs/>
          <w:color w:val="000000" w:themeShade="80"/>
        </w:rPr>
      </w:pPr>
      <w:r>
        <w:rPr>
          <w:rFonts w:cs="Arial"/>
          <w:b/>
          <w:bCs/>
          <w:color w:val="000000" w:themeShade="80"/>
        </w:rPr>
        <w:t>The Privacy act 1988 had a review conducted in 2022 and several proposals were made to the act. One of the proposals to the act is to clarify what exactly is protected under the act. This would mean it would be easier for Turtle movers to know what data they need to protect when collecting and dealing with their customers data. Another proposal is to strengthen the requirement to keeping personal data secure and destroying it when it is no longer needed. This would mean the business would need to ensure the data is kept as secure as possible and destroyed when it is no longer needed.</w:t>
      </w:r>
    </w:p>
    <w:p>
      <w:pPr>
        <w:pStyle w:val="ListParagraph"/>
        <w:widowControl/>
        <w:suppressAutoHyphens w:val="false"/>
        <w:spacing w:lineRule="auto" w:line="360"/>
        <w:ind w:left="0" w:hanging="0"/>
        <w:rPr>
          <w:rFonts w:cs="Arial"/>
          <w:b/>
          <w:bCs/>
          <w:color w:val="000000" w:themeShade="80"/>
        </w:rPr>
      </w:pPr>
      <w:r>
        <w:rPr>
          <w:rFonts w:cs="Arial"/>
          <w:b/>
          <w:bCs/>
          <w:color w:val="000000" w:themeShade="80"/>
        </w:rPr>
      </w:r>
    </w:p>
    <w:p>
      <w:pPr>
        <w:pStyle w:val="ListParagraph"/>
        <w:widowControl/>
        <w:suppressAutoHyphens w:val="false"/>
        <w:spacing w:lineRule="auto" w:line="360"/>
        <w:ind w:left="0" w:hanging="0"/>
        <w:rPr/>
      </w:pPr>
      <w:r>
        <w:rPr>
          <w:rFonts w:cs="Arial"/>
          <w:b/>
          <w:bCs/>
          <w:color w:val="000000" w:themeShade="80"/>
        </w:rPr>
        <w:t xml:space="preserve">The </w:t>
      </w:r>
      <w:r>
        <w:rPr>
          <w:b/>
          <w:bCs/>
        </w:rPr>
        <w:t>Telecommunications and Other Legislation Amendment (Assistance and Access) Act 2018 which was updated in 2021 is about how law enforcement can get warrants to access encrypted data that may relate to a serious crime etc. This affects Turtle Movers as if they hold data that may help an investigation they must provide it if there is a warrant or they can voluntarily hand it over to law enforcement.</w:t>
      </w:r>
    </w:p>
    <w:p>
      <w:pPr>
        <w:pStyle w:val="Heading2"/>
        <w:rPr>
          <w:rStyle w:val="Eop"/>
          <w:color w:val="1F4E79" w:themeColor="accent1" w:themeShade="80"/>
        </w:rPr>
      </w:pPr>
      <w:bookmarkStart w:id="9" w:name="_Toc124768028"/>
      <w:r>
        <w:rPr>
          <w:rStyle w:val="Eop"/>
          <w:color w:val="1F4E79" w:themeColor="accent1" w:themeShade="80"/>
        </w:rPr>
        <w:t>3.1 Regulators</w:t>
      </w:r>
      <w:bookmarkEnd w:id="9"/>
    </w:p>
    <w:p>
      <w:pPr>
        <w:pStyle w:val="Normal"/>
        <w:overflowPunct w:val="false"/>
        <w:spacing w:lineRule="auto" w:line="360" w:before="0" w:after="0"/>
        <w:contextualSpacing/>
        <w:textAlignment w:val="auto"/>
        <w:rPr>
          <w:rFonts w:cs="Arial"/>
          <w:color w:val="FF0000"/>
          <w:szCs w:val="22"/>
          <w:lang w:val="en-AU" w:eastAsia="en-AU"/>
        </w:rPr>
      </w:pPr>
      <w:r>
        <w:rPr>
          <w:rFonts w:cs="Arial"/>
          <w:color w:val="FF0000"/>
          <w:szCs w:val="22"/>
          <w:lang w:val="en-AU" w:eastAsia="en-AU"/>
        </w:rPr>
      </w:r>
    </w:p>
    <w:tbl>
      <w:tblPr>
        <w:tblStyle w:val="TableGrid1"/>
        <w:tblW w:w="9214" w:type="dxa"/>
        <w:jc w:val="left"/>
        <w:tblInd w:w="-3" w:type="dxa"/>
        <w:tblLayout w:type="fixed"/>
        <w:tblCellMar>
          <w:top w:w="0" w:type="dxa"/>
          <w:left w:w="108" w:type="dxa"/>
          <w:bottom w:w="0" w:type="dxa"/>
          <w:right w:w="108" w:type="dxa"/>
        </w:tblCellMar>
        <w:tblLook w:firstRow="1" w:noVBand="1" w:lastRow="0" w:firstColumn="1" w:lastColumn="0" w:noHBand="0" w:val="04a0"/>
      </w:tblPr>
      <w:tblGrid>
        <w:gridCol w:w="2977"/>
        <w:gridCol w:w="2977"/>
        <w:gridCol w:w="3260"/>
      </w:tblGrid>
      <w:tr>
        <w:trPr/>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center"/>
              <w:textAlignment w:val="auto"/>
              <w:rPr>
                <w:rFonts w:cs="Arial"/>
                <w:b/>
                <w:color w:val="1F4E79" w:themeColor="accent1" w:themeShade="80"/>
                <w:sz w:val="20"/>
                <w:lang w:val="en-AU" w:eastAsia="en-AU"/>
              </w:rPr>
            </w:pPr>
            <w:r>
              <w:rPr>
                <w:rFonts w:eastAsia="Times New Roman" w:cs="Arial"/>
                <w:b/>
                <w:color w:val="1F4E79" w:themeColor="accent1" w:themeShade="80"/>
                <w:kern w:val="0"/>
                <w:sz w:val="20"/>
                <w:szCs w:val="22"/>
                <w:lang w:val="en-AU" w:eastAsia="en-AU" w:bidi="ar-SA"/>
              </w:rPr>
              <w:t>REGULATOR</w:t>
            </w:r>
          </w:p>
        </w:tc>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center"/>
              <w:textAlignment w:val="auto"/>
              <w:rPr>
                <w:rFonts w:cs="Arial"/>
                <w:b/>
                <w:color w:val="1F4E79" w:themeColor="accent1" w:themeShade="80"/>
                <w:sz w:val="20"/>
                <w:lang w:val="en-AU" w:eastAsia="en-AU"/>
              </w:rPr>
            </w:pPr>
            <w:r>
              <w:rPr>
                <w:rFonts w:eastAsia="Times New Roman" w:cs="Arial"/>
                <w:b/>
                <w:color w:val="1F4E79" w:themeColor="accent1" w:themeShade="80"/>
                <w:kern w:val="0"/>
                <w:sz w:val="20"/>
                <w:szCs w:val="22"/>
                <w:lang w:val="en-AU" w:eastAsia="en-AU" w:bidi="ar-SA"/>
              </w:rPr>
              <w:t>ROLE</w:t>
            </w:r>
          </w:p>
        </w:tc>
        <w:tc>
          <w:tcPr>
            <w:tcW w:w="3260"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center"/>
              <w:textAlignment w:val="auto"/>
              <w:rPr>
                <w:rFonts w:cs="Arial"/>
                <w:b/>
                <w:color w:val="1F4E79" w:themeColor="accent1" w:themeShade="80"/>
                <w:sz w:val="20"/>
                <w:lang w:val="en-AU" w:eastAsia="en-AU"/>
              </w:rPr>
            </w:pPr>
            <w:r>
              <w:rPr>
                <w:rFonts w:eastAsia="Times New Roman" w:cs="Arial"/>
                <w:b/>
                <w:color w:val="1F4E79" w:themeColor="accent1" w:themeShade="80"/>
                <w:kern w:val="0"/>
                <w:sz w:val="20"/>
                <w:szCs w:val="22"/>
                <w:lang w:val="en-AU" w:eastAsia="en-AU" w:bidi="ar-SA"/>
              </w:rPr>
              <w:t>SCOPE</w:t>
            </w:r>
          </w:p>
        </w:tc>
      </w:tr>
      <w:tr>
        <w:trPr/>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cs="Arial"/>
                <w:color w:val="1F4E79" w:themeColor="accent1" w:themeShade="80"/>
                <w:sz w:val="20"/>
                <w:lang w:val="en-AU" w:eastAsia="en-AU"/>
              </w:rPr>
            </w:pPr>
            <w:r>
              <w:rPr>
                <w:rFonts w:eastAsia="Times New Roman" w:cs="Arial"/>
                <w:color w:val="1F4E79" w:themeColor="accent1" w:themeShade="80"/>
                <w:kern w:val="0"/>
                <w:sz w:val="20"/>
                <w:szCs w:val="22"/>
                <w:lang w:val="en-AU" w:eastAsia="en-AU" w:bidi="ar-SA"/>
              </w:rPr>
              <w:t xml:space="preserve">Australian Prudential Regulation Authority (APRA) </w:t>
            </w:r>
          </w:p>
        </w:tc>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eastAsia="Times New Roman" w:cs="Arial"/>
                <w:b/>
                <w:bCs/>
                <w:color w:val="000000" w:themeShade="80"/>
                <w:kern w:val="0"/>
                <w:sz w:val="20"/>
                <w:szCs w:val="22"/>
                <w:lang w:val="en-AU" w:eastAsia="en-AU" w:bidi="ar-SA"/>
              </w:rPr>
            </w:pPr>
            <w:r>
              <w:rPr>
                <w:rFonts w:eastAsia="Times New Roman" w:cs="Arial"/>
                <w:b/>
                <w:bCs/>
                <w:color w:val="000000" w:themeShade="80"/>
                <w:kern w:val="0"/>
                <w:sz w:val="20"/>
                <w:szCs w:val="22"/>
                <w:lang w:val="en-AU" w:eastAsia="en-AU" w:bidi="ar-SA"/>
              </w:rPr>
              <w:t>APRA is responsible for regulating financial institutes. They maintain the safety and soundness of the financial institutes and protect the interests of all who are invloved.</w:t>
            </w:r>
          </w:p>
        </w:tc>
        <w:tc>
          <w:tcPr>
            <w:tcW w:w="3260"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eastAsia="Times New Roman" w:cs="Arial"/>
                <w:b/>
                <w:bCs/>
                <w:color w:val="000000" w:themeShade="80"/>
                <w:kern w:val="0"/>
                <w:sz w:val="20"/>
                <w:szCs w:val="22"/>
                <w:lang w:val="en-AU" w:eastAsia="en-AU" w:bidi="ar-SA"/>
              </w:rPr>
            </w:pPr>
            <w:r>
              <w:rPr>
                <w:rFonts w:eastAsia="Times New Roman" w:cs="Arial"/>
                <w:b/>
                <w:bCs/>
                <w:color w:val="000000" w:themeShade="80"/>
                <w:kern w:val="0"/>
                <w:sz w:val="20"/>
                <w:szCs w:val="22"/>
                <w:lang w:val="en-AU" w:eastAsia="en-AU" w:bidi="ar-SA"/>
              </w:rPr>
              <w:t>ARPA covers banks, insurance companies and superannuation companies.</w:t>
            </w:r>
          </w:p>
        </w:tc>
      </w:tr>
      <w:tr>
        <w:trPr/>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cs="Arial"/>
                <w:color w:val="1F4E79" w:themeColor="accent1" w:themeShade="80"/>
                <w:sz w:val="20"/>
                <w:lang w:val="en-AU" w:eastAsia="en-AU"/>
              </w:rPr>
            </w:pPr>
            <w:r>
              <w:rPr>
                <w:rFonts w:eastAsia="Times New Roman" w:cs="Arial"/>
                <w:color w:val="1F4E79" w:themeColor="accent1" w:themeShade="80"/>
                <w:kern w:val="0"/>
                <w:sz w:val="20"/>
                <w:szCs w:val="22"/>
                <w:lang w:val="en-AU" w:eastAsia="en-AU" w:bidi="ar-SA"/>
              </w:rPr>
              <w:t>Australian Securities and Investments Commission (ASIC)</w:t>
            </w:r>
          </w:p>
        </w:tc>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eastAsia="Times New Roman" w:cs="Arial"/>
                <w:b/>
                <w:bCs/>
                <w:color w:val="000000" w:themeShade="80"/>
                <w:kern w:val="0"/>
                <w:sz w:val="20"/>
                <w:szCs w:val="22"/>
                <w:lang w:val="en-AU" w:eastAsia="en-AU" w:bidi="ar-SA"/>
              </w:rPr>
            </w:pPr>
            <w:r>
              <w:rPr>
                <w:rFonts w:eastAsia="Times New Roman" w:cs="Arial"/>
                <w:b/>
                <w:bCs/>
                <w:color w:val="000000" w:themeShade="80"/>
                <w:kern w:val="0"/>
                <w:sz w:val="20"/>
                <w:szCs w:val="22"/>
                <w:lang w:val="en-AU" w:eastAsia="en-AU" w:bidi="ar-SA"/>
              </w:rPr>
              <w:t xml:space="preserve">ASIC is responsible for regulating financial markets and services so that the markets are fair and efficient. </w:t>
            </w:r>
          </w:p>
        </w:tc>
        <w:tc>
          <w:tcPr>
            <w:tcW w:w="3260"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eastAsia="Times New Roman" w:cs="Arial"/>
                <w:b/>
                <w:bCs/>
                <w:color w:val="000000" w:themeShade="80"/>
                <w:kern w:val="0"/>
                <w:sz w:val="20"/>
                <w:szCs w:val="22"/>
                <w:lang w:val="en-AU" w:eastAsia="en-AU" w:bidi="ar-SA"/>
              </w:rPr>
            </w:pPr>
            <w:r>
              <w:rPr>
                <w:rFonts w:eastAsia="Times New Roman" w:cs="Arial"/>
                <w:b/>
                <w:bCs/>
                <w:color w:val="000000" w:themeShade="80"/>
                <w:kern w:val="0"/>
                <w:sz w:val="20"/>
                <w:szCs w:val="22"/>
                <w:lang w:val="en-AU" w:eastAsia="en-AU" w:bidi="ar-SA"/>
              </w:rPr>
              <w:t>The scope of ASIC's responsibilities covers all corporations, financial markets, and financial services providers.</w:t>
            </w:r>
          </w:p>
        </w:tc>
      </w:tr>
      <w:tr>
        <w:trPr/>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cs="Arial"/>
                <w:color w:val="1F4E79" w:themeColor="accent1" w:themeShade="80"/>
                <w:sz w:val="20"/>
                <w:lang w:val="en-AU" w:eastAsia="en-AU"/>
              </w:rPr>
            </w:pPr>
            <w:r>
              <w:rPr>
                <w:rFonts w:eastAsia="Times New Roman" w:cs="Arial"/>
                <w:color w:val="1F4E79" w:themeColor="accent1" w:themeShade="80"/>
                <w:kern w:val="0"/>
                <w:sz w:val="20"/>
                <w:szCs w:val="22"/>
                <w:lang w:val="en-AU" w:eastAsia="en-AU" w:bidi="ar-SA"/>
              </w:rPr>
              <w:t xml:space="preserve">Australian Competition and Consumer Commission (ACCC) </w:t>
            </w:r>
          </w:p>
        </w:tc>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eastAsia="Times New Roman" w:cs="Arial"/>
                <w:b/>
                <w:bCs/>
                <w:color w:val="000000" w:themeShade="80"/>
                <w:kern w:val="0"/>
                <w:sz w:val="20"/>
                <w:szCs w:val="22"/>
                <w:lang w:val="en-AU" w:eastAsia="en-AU" w:bidi="ar-SA"/>
              </w:rPr>
            </w:pPr>
            <w:r>
              <w:rPr>
                <w:rFonts w:eastAsia="Times New Roman" w:cs="Arial"/>
                <w:b/>
                <w:bCs/>
                <w:color w:val="000000" w:themeShade="80"/>
                <w:kern w:val="0"/>
                <w:sz w:val="20"/>
                <w:szCs w:val="22"/>
                <w:lang w:val="en-AU" w:eastAsia="en-AU" w:bidi="ar-SA"/>
              </w:rPr>
              <w:t>The ACCC maintains and promotes competition while making sure it is all fair and stop anything that is anti-competitive or harmful.</w:t>
            </w:r>
          </w:p>
        </w:tc>
        <w:tc>
          <w:tcPr>
            <w:tcW w:w="3260"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eastAsia="Times New Roman" w:cs="Arial"/>
                <w:b/>
                <w:bCs/>
                <w:color w:val="000000" w:themeShade="80"/>
                <w:kern w:val="0"/>
                <w:sz w:val="20"/>
                <w:szCs w:val="22"/>
                <w:lang w:val="en-AU" w:eastAsia="en-AU" w:bidi="ar-SA"/>
              </w:rPr>
            </w:pPr>
            <w:r>
              <w:rPr>
                <w:rFonts w:eastAsia="Times New Roman" w:cs="Arial"/>
                <w:b/>
                <w:bCs/>
                <w:color w:val="000000" w:themeShade="80"/>
                <w:kern w:val="0"/>
                <w:sz w:val="20"/>
                <w:szCs w:val="22"/>
                <w:lang w:val="en-AU" w:eastAsia="en-AU" w:bidi="ar-SA"/>
              </w:rPr>
              <w:t>ACCC covers all markets and industries in Australia.</w:t>
            </w:r>
          </w:p>
        </w:tc>
      </w:tr>
      <w:tr>
        <w:trPr/>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cs="Arial"/>
                <w:color w:val="1F4E79" w:themeColor="accent1" w:themeShade="80"/>
                <w:sz w:val="20"/>
                <w:lang w:val="en-AU" w:eastAsia="en-AU"/>
              </w:rPr>
            </w:pPr>
            <w:r>
              <w:rPr>
                <w:rFonts w:eastAsia="Times New Roman" w:cs="Arial"/>
                <w:color w:val="1F4E79" w:themeColor="accent1" w:themeShade="80"/>
                <w:kern w:val="0"/>
                <w:sz w:val="20"/>
                <w:szCs w:val="22"/>
                <w:lang w:val="en-AU" w:eastAsia="en-AU" w:bidi="ar-SA"/>
              </w:rPr>
              <w:t>Australian Energy Sector Cyber Security Framework (AESCSF)</w:t>
            </w:r>
          </w:p>
        </w:tc>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eastAsia="Times New Roman" w:cs="Arial"/>
                <w:b/>
                <w:bCs/>
                <w:color w:val="000000" w:themeShade="80"/>
                <w:kern w:val="0"/>
                <w:sz w:val="20"/>
                <w:szCs w:val="22"/>
                <w:lang w:val="en-AU" w:eastAsia="en-AU" w:bidi="ar-SA"/>
              </w:rPr>
            </w:pPr>
            <w:r>
              <w:rPr>
                <w:rFonts w:eastAsia="Times New Roman" w:cs="Arial"/>
                <w:b/>
                <w:bCs/>
                <w:color w:val="000000" w:themeShade="80"/>
                <w:kern w:val="0"/>
                <w:sz w:val="20"/>
                <w:szCs w:val="22"/>
                <w:lang w:val="en-AU" w:eastAsia="en-AU" w:bidi="ar-SA"/>
              </w:rPr>
              <w:t>The AESCSF is a framework that helps energy organisations manage their cyber-security risks</w:t>
            </w:r>
          </w:p>
        </w:tc>
        <w:tc>
          <w:tcPr>
            <w:tcW w:w="3260"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eastAsia="Times New Roman" w:cs="Arial"/>
                <w:b/>
                <w:bCs/>
                <w:color w:val="000000" w:themeShade="80"/>
                <w:kern w:val="0"/>
                <w:sz w:val="20"/>
                <w:szCs w:val="22"/>
                <w:lang w:val="en-AU" w:eastAsia="en-AU" w:bidi="ar-SA"/>
              </w:rPr>
            </w:pPr>
            <w:r>
              <w:rPr>
                <w:rFonts w:eastAsia="Times New Roman" w:cs="Arial"/>
                <w:b/>
                <w:bCs/>
                <w:color w:val="000000" w:themeShade="80"/>
                <w:kern w:val="0"/>
                <w:sz w:val="20"/>
                <w:szCs w:val="22"/>
                <w:lang w:val="en-AU" w:eastAsia="en-AU" w:bidi="ar-SA"/>
              </w:rPr>
              <w:t xml:space="preserve">AESCSF covers all organisations in the energy sector </w:t>
            </w:r>
          </w:p>
        </w:tc>
      </w:tr>
      <w:tr>
        <w:trPr/>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cs="Arial"/>
                <w:color w:val="1F4E79" w:themeColor="accent1" w:themeShade="80"/>
                <w:sz w:val="20"/>
                <w:lang w:val="en-AU" w:eastAsia="en-AU"/>
              </w:rPr>
            </w:pPr>
            <w:r>
              <w:rPr>
                <w:rFonts w:eastAsia="Times New Roman" w:cs="Arial"/>
                <w:color w:val="1F4E79" w:themeColor="accent1" w:themeShade="80"/>
                <w:kern w:val="0"/>
                <w:sz w:val="20"/>
                <w:szCs w:val="22"/>
                <w:lang w:val="en-AU" w:eastAsia="en-AU" w:bidi="ar-SA"/>
              </w:rPr>
              <w:t>Protective Service Manual (Australian Government rules for cybersecurity)</w:t>
            </w:r>
          </w:p>
        </w:tc>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eastAsia="Times New Roman" w:cs="Arial"/>
                <w:b/>
                <w:bCs/>
                <w:color w:val="000000" w:themeShade="80"/>
                <w:kern w:val="0"/>
                <w:sz w:val="20"/>
                <w:szCs w:val="22"/>
                <w:lang w:val="en-AU" w:eastAsia="en-AU" w:bidi="ar-SA"/>
              </w:rPr>
            </w:pPr>
            <w:r>
              <w:rPr>
                <w:rFonts w:eastAsia="Times New Roman" w:cs="Arial"/>
                <w:b/>
                <w:bCs/>
                <w:color w:val="000000" w:themeShade="80"/>
                <w:kern w:val="0"/>
                <w:sz w:val="20"/>
                <w:szCs w:val="22"/>
                <w:lang w:val="en-AU" w:eastAsia="en-AU" w:bidi="ar-SA"/>
              </w:rPr>
              <w:t xml:space="preserve">The Protective Security Policy Framework (PSPF) is a framework for protecting government resources and the Protective service manual (PSM) falls under the PSPF and outline rules/guidelines for government agencies to manager their cyber risks </w:t>
            </w:r>
          </w:p>
        </w:tc>
        <w:tc>
          <w:tcPr>
            <w:tcW w:w="3260"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false"/>
              <w:spacing w:before="0" w:after="0"/>
              <w:contextualSpacing/>
              <w:jc w:val="left"/>
              <w:textAlignment w:val="auto"/>
              <w:rPr>
                <w:rFonts w:eastAsia="Times New Roman" w:cs="Arial"/>
                <w:b/>
                <w:bCs/>
                <w:color w:val="000000" w:themeShade="80"/>
                <w:kern w:val="0"/>
                <w:sz w:val="20"/>
                <w:szCs w:val="22"/>
                <w:lang w:val="en-AU" w:eastAsia="en-AU" w:bidi="ar-SA"/>
              </w:rPr>
            </w:pPr>
            <w:r>
              <w:rPr>
                <w:rFonts w:eastAsia="Times New Roman" w:cs="Arial"/>
                <w:b/>
                <w:bCs/>
                <w:color w:val="000000" w:themeShade="80"/>
                <w:kern w:val="0"/>
                <w:sz w:val="20"/>
                <w:szCs w:val="22"/>
                <w:lang w:val="en-AU" w:eastAsia="en-AU" w:bidi="ar-SA"/>
              </w:rPr>
              <w:t>The PSM covers all government agencies.</w:t>
            </w:r>
          </w:p>
        </w:tc>
      </w:tr>
    </w:tbl>
    <w:p>
      <w:pPr>
        <w:pStyle w:val="Normal"/>
        <w:overflowPunct w:val="false"/>
        <w:spacing w:lineRule="auto" w:line="360" w:before="0" w:after="0"/>
        <w:ind w:left="990" w:hanging="0"/>
        <w:contextualSpacing/>
        <w:textAlignment w:val="auto"/>
        <w:rPr>
          <w:rFonts w:cs="Arial"/>
          <w:color w:val="1F4E79" w:themeColor="accent1" w:themeShade="80"/>
          <w:szCs w:val="22"/>
          <w:lang w:val="en-AU" w:eastAsia="en-AU"/>
        </w:rPr>
      </w:pPr>
      <w:r>
        <w:rPr>
          <w:rFonts w:cs="Arial"/>
          <w:color w:val="1F4E79" w:themeColor="accent1" w:themeShade="80"/>
          <w:szCs w:val="22"/>
          <w:lang w:val="en-AU" w:eastAsia="en-AU"/>
        </w:rPr>
      </w:r>
    </w:p>
    <w:p>
      <w:pPr>
        <w:pStyle w:val="Heading1"/>
        <w:rPr>
          <w:rStyle w:val="Eop"/>
          <w:rFonts w:cs="Arial"/>
          <w:color w:val="1F4E79" w:themeColor="accent1" w:themeShade="80"/>
        </w:rPr>
      </w:pPr>
      <w:bookmarkStart w:id="10" w:name="_Toc124768029"/>
      <w:r>
        <w:rPr>
          <w:rStyle w:val="Eop"/>
          <w:rFonts w:cs="Arial"/>
          <w:szCs w:val="22"/>
        </w:rPr>
        <w:t>4</w:t>
        <w:tab/>
        <w:t>Cyber Security Findings and Recommendations</w:t>
      </w:r>
      <w:bookmarkEnd w:id="10"/>
    </w:p>
    <w:p>
      <w:pPr>
        <w:pStyle w:val="Normal"/>
        <w:rPr>
          <w:rStyle w:val="Eop"/>
          <w:rFonts w:cs="Arial"/>
          <w:color w:val="1F4E79" w:themeColor="accent1" w:themeShade="80"/>
        </w:rPr>
      </w:pPr>
      <w:r>
        <w:rPr>
          <w:rFonts w:cs="Arial"/>
          <w:color w:val="1F4E79" w:themeColor="accent1" w:themeShade="80"/>
        </w:rPr>
      </w:r>
    </w:p>
    <w:p>
      <w:pPr>
        <w:pStyle w:val="Normal"/>
        <w:spacing w:lineRule="auto" w:line="360"/>
        <w:ind w:hanging="0"/>
        <w:rPr>
          <w:b/>
          <w:bCs/>
        </w:rPr>
      </w:pPr>
      <w:r>
        <w:rPr>
          <w:b/>
          <w:bCs/>
        </w:rPr>
        <w:t>As a Cyber consultant, I would recommend that Turtle Movers takes the following steps to ensure compliance with legislations and regulatory requirements.</w:t>
      </w:r>
    </w:p>
    <w:p>
      <w:pPr>
        <w:pStyle w:val="Normal"/>
        <w:numPr>
          <w:ilvl w:val="0"/>
          <w:numId w:val="3"/>
        </w:numPr>
        <w:spacing w:lineRule="auto" w:line="360"/>
        <w:ind w:left="426" w:hanging="426"/>
        <w:rPr>
          <w:b/>
          <w:bCs/>
        </w:rPr>
      </w:pPr>
      <w:r>
        <w:rPr>
          <w:b/>
          <w:bCs/>
        </w:rPr>
        <w:t>Compliance with legislation and regulatory requirements:</w:t>
      </w:r>
    </w:p>
    <w:p>
      <w:pPr>
        <w:pStyle w:val="Normal"/>
        <w:numPr>
          <w:ilvl w:val="1"/>
          <w:numId w:val="3"/>
        </w:numPr>
        <w:spacing w:lineRule="auto" w:line="360"/>
        <w:rPr>
          <w:b/>
          <w:bCs/>
        </w:rPr>
      </w:pPr>
      <w:r>
        <w:rPr>
          <w:b/>
          <w:bCs/>
        </w:rPr>
        <w:t>Conduct audits to ensure all areas are compliant.</w:t>
      </w:r>
    </w:p>
    <w:p>
      <w:pPr>
        <w:pStyle w:val="Normal"/>
        <w:numPr>
          <w:ilvl w:val="1"/>
          <w:numId w:val="3"/>
        </w:numPr>
        <w:spacing w:lineRule="auto" w:line="360"/>
        <w:rPr>
          <w:b/>
          <w:bCs/>
        </w:rPr>
      </w:pPr>
      <w:r>
        <w:rPr>
          <w:b/>
          <w:bCs/>
        </w:rPr>
        <w:t>Ensure all customers data is protected in accordance with the Privacy Act.</w:t>
      </w:r>
    </w:p>
    <w:p>
      <w:pPr>
        <w:pStyle w:val="Normal"/>
        <w:numPr>
          <w:ilvl w:val="1"/>
          <w:numId w:val="3"/>
        </w:numPr>
        <w:spacing w:lineRule="auto" w:line="360"/>
        <w:rPr>
          <w:b/>
          <w:bCs/>
        </w:rPr>
      </w:pPr>
      <w:r>
        <w:rPr>
          <w:b/>
          <w:bCs/>
        </w:rPr>
        <w:t>Develop an organisational policy that covers all aspects of cyber-security and data protection</w:t>
      </w:r>
    </w:p>
    <w:p>
      <w:pPr>
        <w:pStyle w:val="Normal"/>
        <w:numPr>
          <w:ilvl w:val="0"/>
          <w:numId w:val="3"/>
        </w:numPr>
        <w:spacing w:lineRule="auto" w:line="360"/>
        <w:ind w:left="426" w:hanging="426"/>
        <w:rPr/>
      </w:pPr>
      <w:r>
        <w:rPr>
          <w:rStyle w:val="Eop"/>
          <w:rFonts w:cs="Arial"/>
          <w:b/>
          <w:bCs/>
          <w:color w:val="1F4E79" w:themeColor="accent1" w:themeShade="80"/>
        </w:rPr>
        <w:t xml:space="preserve">International cyber security legislation impacting their businesses </w:t>
      </w:r>
      <w:r>
        <w:rPr>
          <w:b/>
          <w:bCs/>
        </w:rPr>
        <w:t xml:space="preserve"> </w:t>
      </w:r>
    </w:p>
    <w:p>
      <w:pPr>
        <w:pStyle w:val="Normal"/>
        <w:numPr>
          <w:ilvl w:val="1"/>
          <w:numId w:val="3"/>
        </w:numPr>
        <w:spacing w:lineRule="auto" w:line="360"/>
        <w:rPr>
          <w:b/>
          <w:bCs/>
        </w:rPr>
      </w:pPr>
      <w:r>
        <w:rPr>
          <w:b/>
          <w:bCs/>
        </w:rPr>
        <w:t>Since the business only works in Australia there are no international legislations they must follow however they should still follow global standards such as the PCI-DSS.</w:t>
      </w:r>
    </w:p>
    <w:p>
      <w:pPr>
        <w:pStyle w:val="Normal"/>
        <w:numPr>
          <w:ilvl w:val="0"/>
          <w:numId w:val="3"/>
        </w:numPr>
        <w:spacing w:lineRule="auto" w:line="360"/>
        <w:ind w:left="426" w:hanging="426"/>
        <w:rPr/>
      </w:pPr>
      <w:r>
        <w:rPr>
          <w:rStyle w:val="Eop"/>
          <w:rFonts w:cs="Arial"/>
          <w:b/>
          <w:bCs/>
          <w:color w:val="1F4E79" w:themeColor="accent1" w:themeShade="80"/>
        </w:rPr>
        <w:t>Potential impact of upcoming reforms in privacy and consumer and surveillance legislation</w:t>
      </w:r>
    </w:p>
    <w:p>
      <w:pPr>
        <w:pStyle w:val="Normal"/>
        <w:numPr>
          <w:ilvl w:val="1"/>
          <w:numId w:val="3"/>
        </w:numPr>
        <w:spacing w:lineRule="auto" w:line="360"/>
        <w:rPr>
          <w:b/>
          <w:bCs/>
        </w:rPr>
      </w:pPr>
      <w:r>
        <w:rPr>
          <w:b/>
          <w:bCs/>
        </w:rPr>
        <w:t>The company should monitor for changes to any of the legislations and implement them as soon as possible.</w:t>
      </w:r>
    </w:p>
    <w:p>
      <w:pPr>
        <w:pStyle w:val="Normal"/>
        <w:numPr>
          <w:ilvl w:val="1"/>
          <w:numId w:val="3"/>
        </w:numPr>
        <w:spacing w:lineRule="auto" w:line="360"/>
        <w:rPr>
          <w:b/>
          <w:bCs/>
        </w:rPr>
      </w:pPr>
      <w:r>
        <w:rPr>
          <w:b/>
          <w:bCs/>
        </w:rPr>
        <w:t>Regularly review their own policies to ensure it is still in accordance with the privacy act as well as the consumer and surveillance legislation.</w:t>
      </w:r>
    </w:p>
    <w:p>
      <w:pPr>
        <w:pStyle w:val="Normal"/>
        <w:spacing w:lineRule="auto" w:line="360"/>
        <w:rPr>
          <w:rStyle w:val="Eop"/>
          <w:rFonts w:cs="Arial"/>
          <w:color w:val="1F4E79" w:themeColor="accent1" w:themeShade="80"/>
        </w:rPr>
      </w:pPr>
      <w:r>
        <w:rPr>
          <w:rFonts w:cs="Arial"/>
          <w:color w:val="1F4E79" w:themeColor="accent1" w:themeShade="80"/>
        </w:rPr>
      </w:r>
    </w:p>
    <w:p>
      <w:pPr>
        <w:pStyle w:val="Normal"/>
        <w:rPr>
          <w:rStyle w:val="Eop"/>
          <w:rFonts w:cs="Arial"/>
          <w:color w:val="1F4E79" w:themeColor="accent1" w:themeShade="80"/>
        </w:rPr>
      </w:pPr>
      <w:r>
        <w:rPr>
          <w:rFonts w:cs="Arial"/>
          <w:color w:val="1F4E79" w:themeColor="accent1" w:themeShade="80"/>
        </w:rPr>
      </w:r>
    </w:p>
    <w:p>
      <w:pPr>
        <w:pStyle w:val="Heading1"/>
        <w:rPr>
          <w:rStyle w:val="Eop"/>
          <w:rFonts w:cs="Arial"/>
          <w:color w:val="1F4E79" w:themeColor="accent1" w:themeShade="80"/>
        </w:rPr>
      </w:pPr>
      <w:bookmarkStart w:id="11" w:name="_Toc124768030"/>
      <w:r>
        <w:rPr>
          <w:rStyle w:val="Eop"/>
          <w:rFonts w:cs="Arial"/>
          <w:szCs w:val="22"/>
        </w:rPr>
        <w:t>5</w:t>
        <w:tab/>
        <w:t>Privacy Policies and Best Practices Review</w:t>
      </w:r>
      <w:bookmarkEnd w:id="11"/>
    </w:p>
    <w:p>
      <w:pPr>
        <w:pStyle w:val="Normal"/>
        <w:rPr>
          <w:rStyle w:val="Eop"/>
          <w:rFonts w:cs="Arial"/>
          <w:color w:val="1F4E79" w:themeColor="accent1" w:themeShade="80"/>
        </w:rPr>
      </w:pPr>
      <w:r>
        <w:rPr>
          <w:rFonts w:cs="Arial"/>
          <w:color w:val="1F4E79" w:themeColor="accent1" w:themeShade="80"/>
        </w:rPr>
      </w:r>
    </w:p>
    <w:p>
      <w:pPr>
        <w:pStyle w:val="Normal"/>
        <w:spacing w:lineRule="auto" w:line="360"/>
        <w:rPr>
          <w:rStyle w:val="Eop"/>
          <w:rFonts w:cs="Arial"/>
          <w:color w:val="1F4E79" w:themeColor="accent1" w:themeShade="80"/>
        </w:rPr>
      </w:pPr>
      <w:r>
        <w:rPr>
          <w:rStyle w:val="Eop"/>
          <w:rFonts w:cs="Arial"/>
          <w:color w:val="1F4E79" w:themeColor="accent1" w:themeShade="80"/>
        </w:rPr>
        <w:t>Introductory paragraph.</w:t>
      </w:r>
    </w:p>
    <w:p>
      <w:pPr>
        <w:pStyle w:val="Normal"/>
        <w:spacing w:lineRule="auto" w:line="360"/>
        <w:rPr>
          <w:rStyle w:val="Eop"/>
          <w:rFonts w:cs="Arial"/>
          <w:color w:val="1F4E79" w:themeColor="accent1" w:themeShade="80"/>
        </w:rPr>
      </w:pPr>
      <w:r>
        <w:rPr>
          <w:rFonts w:cs="Arial"/>
          <w:color w:val="1F4E79" w:themeColor="accent1" w:themeShade="80"/>
        </w:rPr>
      </w:r>
    </w:p>
    <w:p>
      <w:pPr>
        <w:pStyle w:val="Normal"/>
        <w:spacing w:lineRule="auto" w:line="360"/>
        <w:rPr>
          <w:rStyle w:val="Eop"/>
          <w:rFonts w:cs="Arial"/>
          <w:color w:val="1F4E79" w:themeColor="accent1" w:themeShade="80"/>
        </w:rPr>
      </w:pPr>
      <w:r>
        <w:rPr>
          <w:rStyle w:val="Eop"/>
          <w:rFonts w:cs="Arial"/>
          <w:color w:val="1F4E79" w:themeColor="accent1" w:themeShade="80"/>
        </w:rPr>
        <w:t>Examine the privacy documentation provided. Review policy compliance across the organisation against current standards.</w:t>
      </w:r>
    </w:p>
    <w:p>
      <w:pPr>
        <w:pStyle w:val="Normal"/>
        <w:rPr>
          <w:rStyle w:val="Eop"/>
          <w:rFonts w:cs="Arial"/>
        </w:rPr>
      </w:pPr>
      <w:r>
        <w:rPr>
          <w:rFonts w:cs="Arial"/>
        </w:rPr>
      </w:r>
      <w:r>
        <w:br w:type="page"/>
      </w:r>
    </w:p>
    <w:tbl>
      <w:tblPr>
        <w:tblStyle w:val="TableGrid"/>
        <w:tblW w:w="9497" w:type="dxa"/>
        <w:jc w:val="left"/>
        <w:tblInd w:w="139" w:type="dxa"/>
        <w:tblLayout w:type="fixed"/>
        <w:tblCellMar>
          <w:top w:w="0" w:type="dxa"/>
          <w:left w:w="108" w:type="dxa"/>
          <w:bottom w:w="0" w:type="dxa"/>
          <w:right w:w="108" w:type="dxa"/>
        </w:tblCellMar>
        <w:tblLook w:firstRow="1" w:noVBand="1" w:lastRow="0" w:firstColumn="1" w:lastColumn="0" w:noHBand="0" w:val="04a0"/>
      </w:tblPr>
      <w:tblGrid>
        <w:gridCol w:w="2024"/>
        <w:gridCol w:w="2084"/>
        <w:gridCol w:w="1985"/>
        <w:gridCol w:w="674"/>
        <w:gridCol w:w="733"/>
        <w:gridCol w:w="518"/>
        <w:gridCol w:w="710"/>
        <w:gridCol w:w="767"/>
      </w:tblGrid>
      <w:tr>
        <w:trPr>
          <w:trHeight w:val="-2337" w:hRule="atLeast"/>
        </w:trPr>
        <w:tc>
          <w:tcPr>
            <w:tcW w:w="2024" w:type="dxa"/>
            <w:vMerge w:val="restart"/>
            <w:tcBorders>
              <w:top w:val="single" w:sz="2" w:space="0" w:color="808080"/>
              <w:left w:val="single" w:sz="2" w:space="0" w:color="808080"/>
              <w:bottom w:val="single" w:sz="2" w:space="0" w:color="808080"/>
              <w:right w:val="single" w:sz="2" w:space="0" w:color="808080"/>
            </w:tcBorders>
            <w:vAlign w:val="center"/>
          </w:tcPr>
          <w:p>
            <w:pPr>
              <w:pStyle w:val="Normal"/>
              <w:pageBreakBefore/>
              <w:widowControl w:val="false"/>
              <w:spacing w:before="0" w:after="0"/>
              <w:jc w:val="center"/>
              <w:rPr>
                <w:rStyle w:val="Eop"/>
                <w:rFonts w:cs="Arial"/>
                <w:b/>
                <w:sz w:val="20"/>
              </w:rPr>
            </w:pPr>
            <w:r>
              <w:rPr>
                <w:rStyle w:val="Eop"/>
                <w:rFonts w:eastAsia="Times New Roman" w:cs="Arial"/>
                <w:b/>
                <w:kern w:val="0"/>
                <w:sz w:val="20"/>
                <w:szCs w:val="20"/>
                <w:lang w:bidi="ar-SA"/>
              </w:rPr>
              <w:t>STANDARDS</w:t>
            </w:r>
          </w:p>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APPs</w:t>
            </w:r>
          </w:p>
        </w:tc>
        <w:tc>
          <w:tcPr>
            <w:tcW w:w="2084" w:type="dxa"/>
            <w:vMerge w:val="restart"/>
            <w:tcBorders>
              <w:top w:val="single" w:sz="2" w:space="0" w:color="808080"/>
              <w:left w:val="single" w:sz="2" w:space="0" w:color="808080"/>
              <w:bottom w:val="single" w:sz="2" w:space="0" w:color="808080"/>
              <w:right w:val="nil"/>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APP Desription</w:t>
            </w:r>
          </w:p>
        </w:tc>
        <w:tc>
          <w:tcPr>
            <w:tcW w:w="1985"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Fonts w:cs="Arial"/>
                <w:b/>
                <w:sz w:val="20"/>
              </w:rPr>
              <w:t>Turtle Movers</w:t>
            </w:r>
          </w:p>
        </w:tc>
        <w:tc>
          <w:tcPr>
            <w:tcW w:w="3402" w:type="dxa"/>
            <w:gridSpan w:val="5"/>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COMPLIANCE</w:t>
            </w:r>
          </w:p>
        </w:tc>
      </w:tr>
      <w:tr>
        <w:trPr>
          <w:trHeight w:val="889" w:hRule="atLeast"/>
          <w:cantSplit w:val="true"/>
        </w:trPr>
        <w:tc>
          <w:tcPr>
            <w:tcW w:w="2024"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Fonts w:cs="Arial"/>
                <w:b/>
                <w:sz w:val="20"/>
              </w:rPr>
            </w:r>
          </w:p>
        </w:tc>
        <w:tc>
          <w:tcPr>
            <w:tcW w:w="2084" w:type="dxa"/>
            <w:vMerge w:val="continue"/>
            <w:tcBorders>
              <w:top w:val="single" w:sz="2" w:space="0" w:color="808080"/>
              <w:left w:val="single" w:sz="2" w:space="0" w:color="808080"/>
              <w:bottom w:val="single" w:sz="2" w:space="0" w:color="808080"/>
              <w:right w:val="nil"/>
            </w:tcBorders>
            <w:textDirection w:val="btLr"/>
          </w:tcPr>
          <w:p>
            <w:pPr>
              <w:pStyle w:val="Normal"/>
              <w:widowControl w:val="false"/>
              <w:spacing w:before="0" w:after="0"/>
              <w:ind w:left="113" w:right="113" w:hanging="0"/>
              <w:jc w:val="left"/>
              <w:rPr>
                <w:rStyle w:val="Eop"/>
                <w:rFonts w:cs="Arial"/>
                <w:b/>
                <w:sz w:val="18"/>
              </w:rPr>
            </w:pPr>
            <w:r>
              <w:rPr>
                <w:rFonts w:cs="Arial"/>
                <w:b/>
                <w:sz w:val="18"/>
              </w:rPr>
            </w:r>
          </w:p>
        </w:tc>
        <w:tc>
          <w:tcPr>
            <w:tcW w:w="1985"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ind w:left="113" w:right="113" w:hanging="0"/>
              <w:jc w:val="left"/>
              <w:rPr>
                <w:rStyle w:val="Eop"/>
                <w:rFonts w:cs="Arial"/>
                <w:b/>
                <w:sz w:val="18"/>
              </w:rPr>
            </w:pPr>
            <w:r>
              <w:rPr>
                <w:rFonts w:cs="Arial"/>
                <w:b/>
                <w:sz w:val="18"/>
              </w:rPr>
            </w:r>
          </w:p>
        </w:tc>
        <w:tc>
          <w:tcPr>
            <w:tcW w:w="674"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left="113" w:right="113" w:hanging="0"/>
              <w:jc w:val="left"/>
              <w:rPr>
                <w:rStyle w:val="Eop"/>
                <w:rFonts w:cs="Arial"/>
                <w:b/>
                <w:sz w:val="18"/>
              </w:rPr>
            </w:pPr>
            <w:r>
              <w:rPr>
                <w:rStyle w:val="Eop"/>
                <w:rFonts w:eastAsia="Times New Roman" w:cs="Arial"/>
                <w:b/>
                <w:kern w:val="0"/>
                <w:sz w:val="18"/>
                <w:szCs w:val="20"/>
                <w:lang w:bidi="ar-SA"/>
              </w:rPr>
              <w:t>Full</w:t>
            </w:r>
          </w:p>
        </w:tc>
        <w:tc>
          <w:tcPr>
            <w:tcW w:w="733"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left="113" w:right="113" w:hanging="0"/>
              <w:jc w:val="left"/>
              <w:rPr>
                <w:rStyle w:val="Eop"/>
                <w:rFonts w:cs="Arial"/>
                <w:b/>
                <w:sz w:val="18"/>
              </w:rPr>
            </w:pPr>
            <w:r>
              <w:rPr>
                <w:rStyle w:val="Eop"/>
                <w:rFonts w:eastAsia="Times New Roman" w:cs="Arial"/>
                <w:b/>
                <w:kern w:val="0"/>
                <w:sz w:val="18"/>
                <w:szCs w:val="20"/>
                <w:lang w:bidi="ar-SA"/>
              </w:rPr>
              <w:t xml:space="preserve">Partial </w:t>
            </w:r>
          </w:p>
        </w:tc>
        <w:tc>
          <w:tcPr>
            <w:tcW w:w="518"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left="113" w:right="113" w:hanging="0"/>
              <w:jc w:val="left"/>
              <w:rPr>
                <w:rStyle w:val="Eop"/>
                <w:rFonts w:cs="Arial"/>
                <w:b/>
                <w:sz w:val="18"/>
              </w:rPr>
            </w:pPr>
            <w:r>
              <w:rPr>
                <w:rStyle w:val="Eop"/>
                <w:rFonts w:eastAsia="Times New Roman" w:cs="Arial"/>
                <w:b/>
                <w:kern w:val="0"/>
                <w:sz w:val="18"/>
                <w:szCs w:val="20"/>
                <w:lang w:bidi="ar-SA"/>
              </w:rPr>
              <w:t>Poor</w:t>
            </w:r>
          </w:p>
        </w:tc>
        <w:tc>
          <w:tcPr>
            <w:tcW w:w="710" w:type="dxa"/>
            <w:tcBorders>
              <w:top w:val="single" w:sz="2" w:space="0" w:color="808080"/>
              <w:left w:val="single" w:sz="2" w:space="0" w:color="808080"/>
              <w:bottom w:val="single" w:sz="2" w:space="0" w:color="808080"/>
              <w:right w:val="nil"/>
            </w:tcBorders>
            <w:textDirection w:val="btLr"/>
            <w:vAlign w:val="center"/>
          </w:tcPr>
          <w:p>
            <w:pPr>
              <w:pStyle w:val="Normal"/>
              <w:widowControl w:val="false"/>
              <w:spacing w:before="0" w:after="0"/>
              <w:ind w:left="113" w:right="113" w:hanging="0"/>
              <w:jc w:val="left"/>
              <w:rPr>
                <w:rStyle w:val="Eop"/>
                <w:rFonts w:cs="Arial"/>
                <w:b/>
                <w:sz w:val="14"/>
              </w:rPr>
            </w:pPr>
            <w:r>
              <w:rPr>
                <w:rStyle w:val="Eop"/>
                <w:rFonts w:eastAsia="Times New Roman" w:cs="Arial"/>
                <w:b/>
                <w:kern w:val="0"/>
                <w:sz w:val="14"/>
                <w:szCs w:val="20"/>
                <w:lang w:bidi="ar-SA"/>
              </w:rPr>
              <w:t>Non-Compliance</w:t>
            </w:r>
          </w:p>
        </w:tc>
        <w:tc>
          <w:tcPr>
            <w:tcW w:w="767"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left="113" w:right="113" w:hanging="0"/>
              <w:jc w:val="center"/>
              <w:rPr>
                <w:rFonts w:cs="Arial"/>
                <w:b/>
                <w:sz w:val="14"/>
              </w:rPr>
            </w:pPr>
            <w:r>
              <w:rPr>
                <w:rFonts w:cs="Arial"/>
                <w:b/>
                <w:sz w:val="14"/>
              </w:rPr>
              <w:t>N/A</w:t>
            </w:r>
          </w:p>
        </w:tc>
      </w:tr>
      <w:tr>
        <w:trPr>
          <w:trHeight w:val="200"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kern w:val="0"/>
                <w:szCs w:val="20"/>
                <w:lang w:bidi="ar-SA"/>
              </w:rPr>
              <w:t xml:space="preserve">Open and transparent management of personal information  </w:t>
            </w:r>
          </w:p>
        </w:tc>
        <w:tc>
          <w:tcPr>
            <w:tcW w:w="2084" w:type="dxa"/>
            <w:tcBorders>
              <w:top w:val="single" w:sz="2" w:space="0" w:color="808080"/>
              <w:left w:val="single" w:sz="2" w:space="0" w:color="808080"/>
              <w:bottom w:val="single" w:sz="2" w:space="0" w:color="808080"/>
              <w:right w:val="nil"/>
            </w:tcBorders>
          </w:tcPr>
          <w:p>
            <w:pPr>
              <w:pStyle w:val="Normal"/>
              <w:widowControl w:val="false"/>
              <w:spacing w:before="0" w:after="0"/>
              <w:jc w:val="left"/>
              <w:rPr/>
            </w:pPr>
            <w:bookmarkStart w:id="12" w:name="page1R_mcid3"/>
            <w:bookmarkEnd w:id="12"/>
            <w:r>
              <w:rPr>
                <w:rStyle w:val="Eop"/>
                <w:rFonts w:eastAsia="Times New Roman" w:cs="Arial" w:ascii="sans-serif" w:hAnsi="sans-serif"/>
                <w:b/>
                <w:bCs/>
                <w:kern w:val="0"/>
                <w:szCs w:val="20"/>
                <w:lang w:bidi="ar-SA"/>
              </w:rPr>
              <w:t>must have a clearly expressed and up-to-date Privacy Policy about</w:t>
            </w:r>
            <w:r>
              <w:rPr>
                <w:rStyle w:val="Eop"/>
                <w:rFonts w:eastAsia="Times New Roman" w:cs="Arial"/>
                <w:b/>
                <w:bCs/>
                <w:kern w:val="0"/>
                <w:szCs w:val="20"/>
                <w:lang w:bidi="ar-SA"/>
              </w:rPr>
              <w:br/>
            </w:r>
            <w:r>
              <w:rPr>
                <w:rStyle w:val="Eop"/>
                <w:rFonts w:eastAsia="Times New Roman" w:cs="Arial" w:ascii="sans-serif" w:hAnsi="sans-serif"/>
                <w:b/>
                <w:bCs/>
                <w:kern w:val="0"/>
                <w:szCs w:val="20"/>
                <w:lang w:bidi="ar-SA"/>
              </w:rPr>
              <w:t>how it manages personal information</w:t>
            </w:r>
            <w:r>
              <w:rPr>
                <w:rStyle w:val="Eop"/>
                <w:rFonts w:eastAsia="Times New Roman" w:cs="Arial"/>
                <w:b/>
                <w:bCs/>
                <w:kern w:val="0"/>
                <w:szCs w:val="20"/>
                <w:lang w:bidi="ar-SA"/>
              </w:rPr>
              <w:t xml:space="preserve"> </w:t>
            </w:r>
          </w:p>
          <w:p>
            <w:pPr>
              <w:pStyle w:val="Normal"/>
              <w:widowControl w:val="false"/>
              <w:spacing w:before="0" w:after="0"/>
              <w:jc w:val="left"/>
              <w:rPr>
                <w:rFonts w:cs="Arial"/>
                <w:b/>
                <w:bCs/>
              </w:rPr>
            </w:pPr>
            <w:r>
              <w:rPr>
                <w:rFonts w:cs="Arial"/>
                <w:b/>
                <w:bCs/>
              </w:rPr>
            </w:r>
          </w:p>
        </w:tc>
        <w:tc>
          <w:tcPr>
            <w:tcW w:w="198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b/>
                <w:bCs/>
              </w:rPr>
            </w:pPr>
            <w:r>
              <w:rPr>
                <w:rFonts w:cs="Arial"/>
                <w:b/>
                <w:bCs/>
              </w:rPr>
              <w:t>Turtle Movers has a clear policy on how customers data is handled.</w:t>
            </w:r>
          </w:p>
        </w:tc>
        <w:tc>
          <w:tcPr>
            <w:tcW w:w="67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kern w:val="0"/>
                <w:szCs w:val="20"/>
                <w:lang w:bidi="ar-SA"/>
              </w:rPr>
              <w:t>X</w:t>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rFonts w:cs="Arial"/>
                <w:b/>
                <w:bCs/>
              </w:rPr>
            </w:pPr>
            <w:r>
              <w:rPr>
                <w:rFonts w:cs="Arial"/>
                <w:b/>
                <w:bCs/>
              </w:rPr>
            </w:r>
          </w:p>
        </w:tc>
        <w:tc>
          <w:tcPr>
            <w:tcW w:w="767"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r>
      <w:tr>
        <w:trPr>
          <w:trHeight w:val="192"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kern w:val="0"/>
                <w:szCs w:val="20"/>
                <w:lang w:bidi="ar-SA"/>
              </w:rPr>
              <w:t xml:space="preserve">Anonymity and pseudonymity </w:t>
            </w:r>
          </w:p>
        </w:tc>
        <w:tc>
          <w:tcPr>
            <w:tcW w:w="2084" w:type="dxa"/>
            <w:tcBorders>
              <w:top w:val="single" w:sz="2" w:space="0" w:color="808080"/>
              <w:left w:val="single" w:sz="2" w:space="0" w:color="808080"/>
              <w:bottom w:val="single" w:sz="2" w:space="0" w:color="808080"/>
              <w:right w:val="nil"/>
            </w:tcBorders>
          </w:tcPr>
          <w:p>
            <w:pPr>
              <w:pStyle w:val="Normal"/>
              <w:widowControl w:val="false"/>
              <w:spacing w:before="0" w:after="0"/>
              <w:jc w:val="left"/>
              <w:rPr/>
            </w:pPr>
            <w:r>
              <w:rPr>
                <w:rStyle w:val="Eop"/>
                <w:rFonts w:eastAsia="Times New Roman" w:cs="Arial"/>
                <w:b/>
                <w:bCs/>
                <w:kern w:val="0"/>
                <w:szCs w:val="20"/>
                <w:lang w:bidi="ar-SA"/>
              </w:rPr>
              <w:t xml:space="preserve">Users must have the option of not identifying themselves or using a pseudonym </w:t>
            </w:r>
          </w:p>
        </w:tc>
        <w:tc>
          <w:tcPr>
            <w:tcW w:w="198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b/>
                <w:bCs/>
              </w:rPr>
            </w:pPr>
            <w:r>
              <w:rPr>
                <w:rFonts w:cs="Arial"/>
                <w:b/>
                <w:bCs/>
              </w:rPr>
              <w:t>Nothing stated in policy</w:t>
            </w:r>
          </w:p>
        </w:tc>
        <w:tc>
          <w:tcPr>
            <w:tcW w:w="67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pPr>
            <w:r>
              <w:rPr>
                <w:rStyle w:val="Eop"/>
                <w:rFonts w:eastAsia="Times New Roman" w:cs="Arial"/>
                <w:b/>
                <w:bCs/>
                <w:kern w:val="0"/>
                <w:szCs w:val="20"/>
                <w:lang w:bidi="ar-SA"/>
              </w:rPr>
              <w:t>X</w:t>
            </w:r>
          </w:p>
        </w:tc>
        <w:tc>
          <w:tcPr>
            <w:tcW w:w="767"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r>
      <w:tr>
        <w:trPr>
          <w:trHeight w:val="192"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kern w:val="0"/>
                <w:szCs w:val="20"/>
                <w:lang w:bidi="ar-SA"/>
              </w:rPr>
              <w:t xml:space="preserve">Collection of solicited personal information </w:t>
            </w:r>
          </w:p>
        </w:tc>
        <w:tc>
          <w:tcPr>
            <w:tcW w:w="2084" w:type="dxa"/>
            <w:tcBorders>
              <w:top w:val="single" w:sz="2" w:space="0" w:color="808080"/>
              <w:left w:val="single" w:sz="2" w:space="0" w:color="808080"/>
              <w:bottom w:val="single" w:sz="2" w:space="0" w:color="808080"/>
              <w:right w:val="nil"/>
            </w:tcBorders>
          </w:tcPr>
          <w:p>
            <w:pPr>
              <w:pStyle w:val="Normal"/>
              <w:widowControl w:val="false"/>
              <w:spacing w:before="0" w:after="0"/>
              <w:jc w:val="left"/>
              <w:rPr/>
            </w:pPr>
            <w:r>
              <w:rPr>
                <w:rStyle w:val="Eop"/>
                <w:rFonts w:eastAsia="Times New Roman" w:cs="Arial"/>
                <w:b/>
                <w:bCs/>
                <w:kern w:val="0"/>
                <w:szCs w:val="20"/>
                <w:lang w:bidi="ar-SA"/>
              </w:rPr>
              <w:t xml:space="preserve">Only collect data that is necessary for the operation. </w:t>
            </w:r>
          </w:p>
        </w:tc>
        <w:tc>
          <w:tcPr>
            <w:tcW w:w="198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b/>
                <w:bCs/>
              </w:rPr>
            </w:pPr>
            <w:r>
              <w:rPr>
                <w:rFonts w:cs="Arial"/>
                <w:b/>
                <w:bCs/>
              </w:rPr>
              <w:t>Policy states they only collect information needed for the move</w:t>
            </w:r>
          </w:p>
        </w:tc>
        <w:tc>
          <w:tcPr>
            <w:tcW w:w="67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kern w:val="0"/>
                <w:szCs w:val="20"/>
                <w:lang w:bidi="ar-SA"/>
              </w:rPr>
              <w:t>X</w:t>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rFonts w:cs="Arial"/>
                <w:b/>
                <w:bCs/>
              </w:rPr>
            </w:pPr>
            <w:r>
              <w:rPr>
                <w:rFonts w:cs="Arial"/>
                <w:b/>
                <w:bCs/>
              </w:rPr>
            </w:r>
          </w:p>
        </w:tc>
        <w:tc>
          <w:tcPr>
            <w:tcW w:w="767"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r>
      <w:tr>
        <w:trPr>
          <w:trHeight w:val="1004"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kern w:val="0"/>
                <w:szCs w:val="20"/>
                <w:lang w:bidi="ar-SA"/>
              </w:rPr>
              <w:t xml:space="preserve">Dealing with unsolicited personal information </w:t>
            </w:r>
          </w:p>
        </w:tc>
        <w:tc>
          <w:tcPr>
            <w:tcW w:w="2084" w:type="dxa"/>
            <w:tcBorders>
              <w:top w:val="single" w:sz="2" w:space="0" w:color="808080"/>
              <w:left w:val="single" w:sz="2" w:space="0" w:color="808080"/>
              <w:bottom w:val="single" w:sz="2" w:space="0" w:color="808080"/>
              <w:right w:val="nil"/>
            </w:tcBorders>
          </w:tcPr>
          <w:p>
            <w:pPr>
              <w:pStyle w:val="Normal"/>
              <w:widowControl w:val="false"/>
              <w:spacing w:before="0" w:after="0"/>
              <w:jc w:val="left"/>
              <w:rPr>
                <w:rFonts w:cs="Arial"/>
              </w:rPr>
            </w:pPr>
            <w:r>
              <w:rPr>
                <w:rStyle w:val="Eop"/>
                <w:rFonts w:cs="Arial"/>
                <w:b/>
                <w:bCs/>
              </w:rPr>
              <w:t xml:space="preserve">Entities must delete or de-identify unsolicited personal information </w:t>
            </w:r>
          </w:p>
        </w:tc>
        <w:tc>
          <w:tcPr>
            <w:tcW w:w="198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rPr>
              <w:t>Not stated</w:t>
            </w:r>
          </w:p>
        </w:tc>
        <w:tc>
          <w:tcPr>
            <w:tcW w:w="67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rFonts w:cs="Arial"/>
              </w:rPr>
            </w:pPr>
            <w:r>
              <w:rPr>
                <w:rStyle w:val="Eop"/>
                <w:rFonts w:cs="Arial"/>
                <w:b/>
                <w:bCs/>
              </w:rPr>
              <w:t>X</w:t>
            </w:r>
          </w:p>
        </w:tc>
        <w:tc>
          <w:tcPr>
            <w:tcW w:w="767"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r>
      <w:tr>
        <w:trPr>
          <w:trHeight w:val="192"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1F4E79" w:themeColor="accent1" w:themeShade="80"/>
                <w:kern w:val="0"/>
                <w:sz w:val="18"/>
                <w:szCs w:val="20"/>
                <w:lang w:bidi="ar-SA"/>
              </w:rPr>
              <w:t xml:space="preserve">Notification of the collection of personal information  </w:t>
            </w:r>
          </w:p>
        </w:tc>
        <w:tc>
          <w:tcPr>
            <w:tcW w:w="2084" w:type="dxa"/>
            <w:tcBorders>
              <w:top w:val="single" w:sz="2" w:space="0" w:color="808080"/>
              <w:left w:val="single" w:sz="2" w:space="0" w:color="808080"/>
              <w:bottom w:val="single" w:sz="2" w:space="0" w:color="808080"/>
              <w:right w:val="nil"/>
            </w:tcBorders>
          </w:tcPr>
          <w:p>
            <w:pPr>
              <w:pStyle w:val="Normal"/>
              <w:widowControl w:val="false"/>
              <w:spacing w:before="0" w:after="0"/>
              <w:jc w:val="left"/>
              <w:rPr>
                <w:rFonts w:cs="Arial"/>
              </w:rPr>
            </w:pPr>
            <w:r>
              <w:rPr>
                <w:rStyle w:val="Eop"/>
                <w:rFonts w:cs="Arial"/>
                <w:b/>
                <w:bCs/>
              </w:rPr>
              <w:t xml:space="preserve">Entities must inform individuals about the collection of their personal information </w:t>
            </w:r>
          </w:p>
        </w:tc>
        <w:tc>
          <w:tcPr>
            <w:tcW w:w="198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rPr>
              <w:t>States what data is collected and how it will be used</w:t>
            </w:r>
          </w:p>
        </w:tc>
        <w:tc>
          <w:tcPr>
            <w:tcW w:w="67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cs="Arial"/>
                <w:b/>
                <w:bCs/>
              </w:rPr>
              <w:t>X</w:t>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rFonts w:cs="Arial"/>
                <w:b/>
                <w:bCs/>
              </w:rPr>
            </w:pPr>
            <w:r>
              <w:rPr>
                <w:rFonts w:cs="Arial"/>
                <w:b/>
                <w:bCs/>
              </w:rPr>
            </w:r>
          </w:p>
        </w:tc>
        <w:tc>
          <w:tcPr>
            <w:tcW w:w="767"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bCs/>
              </w:rPr>
            </w:pPr>
            <w:r>
              <w:rPr>
                <w:rFonts w:cs="Arial"/>
                <w:b/>
                <w:bCs/>
                <w:sz w:val="18"/>
              </w:rPr>
              <w:t xml:space="preserve">Use or disclosure of personal information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rFonts w:cs="Arial"/>
              </w:rPr>
            </w:pPr>
            <w:r>
              <w:rPr>
                <w:rStyle w:val="Eop"/>
                <w:rFonts w:cs="Arial"/>
                <w:b/>
                <w:bCs/>
              </w:rPr>
              <w:t xml:space="preserve">Entities must only use or disclose personal information for the primary purpose it was collected </w:t>
            </w:r>
          </w:p>
        </w:tc>
        <w:tc>
          <w:tcPr>
            <w:tcW w:w="1985" w:type="dxa"/>
            <w:tcBorders>
              <w:top w:val="nil"/>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rPr>
              <w:t>States what data is going to be used for</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cs="Arial"/>
                <w:b/>
                <w:bCs/>
              </w:rPr>
              <w:t>X</w:t>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rFonts w:cs="Arial"/>
                <w:b/>
                <w:bCs/>
              </w:rPr>
            </w:pPr>
            <w:r>
              <w:rPr>
                <w:rFonts w:cs="Arial"/>
                <w:b/>
                <w:bCs/>
              </w:rPr>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bCs/>
              </w:rPr>
            </w:pPr>
            <w:r>
              <w:rPr>
                <w:rFonts w:cs="Arial"/>
                <w:b/>
                <w:bCs/>
                <w:sz w:val="18"/>
              </w:rPr>
              <w:t xml:space="preserve">Direct marketing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rFonts w:cs="Arial"/>
              </w:rPr>
            </w:pPr>
            <w:bookmarkStart w:id="13" w:name="page4R_mcid3"/>
            <w:bookmarkEnd w:id="13"/>
            <w:r>
              <w:rPr>
                <w:rStyle w:val="Eop"/>
                <w:rFonts w:cs="Arial" w:ascii="sans-serif" w:hAnsi="sans-serif"/>
                <w:b/>
                <w:bCs/>
              </w:rPr>
              <w:t>organisation must not use or disclose personal information it holds</w:t>
            </w:r>
            <w:r>
              <w:rPr>
                <w:rStyle w:val="Eop"/>
                <w:rFonts w:cs="Arial"/>
                <w:b/>
                <w:bCs/>
              </w:rPr>
              <w:br/>
            </w:r>
            <w:r>
              <w:rPr>
                <w:rStyle w:val="Eop"/>
                <w:rFonts w:cs="Arial" w:ascii="sans-serif" w:hAnsi="sans-serif"/>
                <w:b/>
                <w:bCs/>
              </w:rPr>
              <w:t xml:space="preserve">for the purpose of direct marketing </w:t>
            </w:r>
          </w:p>
          <w:p>
            <w:pPr>
              <w:pStyle w:val="Normal"/>
              <w:widowControl w:val="false"/>
              <w:spacing w:before="0" w:after="0"/>
              <w:jc w:val="left"/>
              <w:rPr>
                <w:rFonts w:cs="Arial"/>
                <w:b/>
                <w:bCs/>
              </w:rPr>
            </w:pPr>
            <w:r>
              <w:rPr>
                <w:rFonts w:cs="Arial"/>
                <w:b/>
                <w:bCs/>
              </w:rPr>
            </w:r>
          </w:p>
        </w:tc>
        <w:tc>
          <w:tcPr>
            <w:tcW w:w="1985" w:type="dxa"/>
            <w:tcBorders>
              <w:top w:val="nil"/>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rPr>
              <w:t xml:space="preserve">Nothing stated </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rFonts w:cs="Arial"/>
              </w:rPr>
            </w:pPr>
            <w:r>
              <w:rPr>
                <w:rStyle w:val="Eop"/>
                <w:rFonts w:cs="Arial"/>
                <w:b/>
                <w:bCs/>
              </w:rPr>
              <w:t>X</w:t>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r>
      <w:tr>
        <w:trPr>
          <w:trHeight w:val="1290"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bCs/>
              </w:rPr>
            </w:pPr>
            <w:r>
              <w:rPr>
                <w:rFonts w:cs="Arial"/>
                <w:b/>
                <w:bCs/>
                <w:sz w:val="18"/>
              </w:rPr>
              <w:t xml:space="preserve">Cross-border disclosure of personal information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pPr>
            <w:r>
              <w:rPr>
                <w:rStyle w:val="Eop"/>
                <w:rFonts w:cs="Arial"/>
                <w:b/>
                <w:bCs/>
              </w:rPr>
              <w:t xml:space="preserve">Before an </w:t>
            </w:r>
            <w:bookmarkStart w:id="14" w:name="page4R_mcid3_Copy_1"/>
            <w:bookmarkEnd w:id="14"/>
            <w:r>
              <w:rPr>
                <w:rStyle w:val="Eop"/>
                <w:rFonts w:ascii="sans-serif" w:hAnsi="sans-serif"/>
                <w:b/>
                <w:bCs/>
              </w:rPr>
              <w:t>entity discloses personal information to an overseas recipient, the entity must</w:t>
            </w:r>
            <w:r>
              <w:rPr>
                <w:rStyle w:val="Eop"/>
                <w:b/>
                <w:bCs/>
              </w:rPr>
              <w:br/>
            </w:r>
            <w:r>
              <w:rPr>
                <w:rStyle w:val="Eop"/>
                <w:rFonts w:ascii="sans-serif" w:hAnsi="sans-serif"/>
                <w:b/>
                <w:bCs/>
              </w:rPr>
              <w:t>take reasonable steps to ensure that the overseas recipient does not breach the APPs in</w:t>
            </w:r>
            <w:r>
              <w:rPr>
                <w:rStyle w:val="Eop"/>
                <w:b/>
                <w:bCs/>
              </w:rPr>
              <w:br/>
            </w:r>
            <w:r>
              <w:rPr>
                <w:rStyle w:val="Eop"/>
                <w:rFonts w:ascii="sans-serif" w:hAnsi="sans-serif"/>
                <w:b/>
                <w:bCs/>
              </w:rPr>
              <w:t>relation to the information</w:t>
            </w:r>
          </w:p>
        </w:tc>
        <w:tc>
          <w:tcPr>
            <w:tcW w:w="1985" w:type="dxa"/>
            <w:tcBorders>
              <w:top w:val="nil"/>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rPr>
              <w:t>Not applicable since they only operate in Australia</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rFonts w:cs="Arial"/>
                <w:b/>
                <w:bCs/>
              </w:rPr>
            </w:pPr>
            <w:r>
              <w:rPr>
                <w:rFonts w:cs="Arial"/>
                <w:b/>
                <w:bCs/>
              </w:rPr>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center"/>
              <w:rPr>
                <w:rFonts w:cs="Arial"/>
                <w:b/>
                <w:bCs/>
              </w:rPr>
            </w:pPr>
            <w:r>
              <w:rPr>
                <w:rFonts w:cs="Arial"/>
                <w:b/>
                <w:bCs/>
              </w:rPr>
            </w:r>
          </w:p>
          <w:p>
            <w:pPr>
              <w:pStyle w:val="Normal"/>
              <w:widowControl w:val="false"/>
              <w:spacing w:before="0" w:after="0"/>
              <w:jc w:val="center"/>
              <w:rPr>
                <w:rFonts w:cs="Arial"/>
                <w:b/>
                <w:bCs/>
              </w:rPr>
            </w:pPr>
            <w:r>
              <w:rPr>
                <w:rFonts w:cs="Arial"/>
                <w:b/>
                <w:bCs/>
              </w:rPr>
              <w:t>X</w:t>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bCs/>
              </w:rPr>
            </w:pPr>
            <w:r>
              <w:rPr>
                <w:rFonts w:cs="Arial"/>
                <w:b/>
                <w:bCs/>
                <w:sz w:val="18"/>
              </w:rPr>
              <w:t xml:space="preserve">Adoption, use, or disclosure of government-related identifiers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rFonts w:cs="Arial"/>
              </w:rPr>
            </w:pPr>
            <w:bookmarkStart w:id="15" w:name="page1R_mcid49"/>
            <w:bookmarkEnd w:id="15"/>
            <w:r>
              <w:rPr>
                <w:rStyle w:val="Eop"/>
                <w:rFonts w:cs="Arial" w:ascii="sans-serif" w:hAnsi="sans-serif"/>
                <w:b/>
                <w:bCs/>
              </w:rPr>
              <w:t>restricts the adoption, use and disclosure of government related identifiers</w:t>
            </w:r>
            <w:r>
              <w:rPr>
                <w:rStyle w:val="Eop"/>
                <w:rFonts w:cs="Arial"/>
                <w:b/>
                <w:bCs/>
              </w:rPr>
              <w:br/>
            </w:r>
            <w:r>
              <w:rPr>
                <w:rStyle w:val="Eop"/>
                <w:rFonts w:cs="Arial" w:ascii="sans-serif" w:hAnsi="sans-serif"/>
                <w:b/>
                <w:bCs/>
              </w:rPr>
              <w:t>by organisations</w:t>
            </w:r>
            <w:r>
              <w:rPr>
                <w:rStyle w:val="Eop"/>
                <w:rFonts w:cs="Arial"/>
                <w:b/>
                <w:bCs/>
              </w:rPr>
              <w:t xml:space="preserve"> </w:t>
            </w:r>
          </w:p>
          <w:p>
            <w:pPr>
              <w:pStyle w:val="Normal"/>
              <w:widowControl w:val="false"/>
              <w:spacing w:before="0" w:after="0"/>
              <w:jc w:val="left"/>
              <w:rPr>
                <w:rFonts w:cs="Arial"/>
                <w:b/>
                <w:bCs/>
              </w:rPr>
            </w:pPr>
            <w:r>
              <w:rPr>
                <w:rFonts w:cs="Arial"/>
                <w:b/>
                <w:bCs/>
              </w:rPr>
            </w:r>
          </w:p>
        </w:tc>
        <w:tc>
          <w:tcPr>
            <w:tcW w:w="1985" w:type="dxa"/>
            <w:tcBorders>
              <w:top w:val="nil"/>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rPr>
              <w:t>Nothing stated</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rFonts w:cs="Arial"/>
              </w:rPr>
            </w:pPr>
            <w:r>
              <w:rPr>
                <w:rStyle w:val="Eop"/>
                <w:rFonts w:cs="Arial"/>
                <w:b/>
                <w:bCs/>
              </w:rPr>
              <w:t>X</w:t>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bCs/>
              </w:rPr>
            </w:pPr>
            <w:r>
              <w:rPr>
                <w:rFonts w:cs="Arial"/>
                <w:b/>
                <w:bCs/>
                <w:sz w:val="18"/>
              </w:rPr>
              <w:t xml:space="preserve">Quality of personal information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rFonts w:cs="Arial"/>
              </w:rPr>
            </w:pPr>
            <w:bookmarkStart w:id="16" w:name="page1R_mcid49_Copy_1"/>
            <w:bookmarkEnd w:id="16"/>
            <w:r>
              <w:rPr>
                <w:rStyle w:val="Eop"/>
                <w:rFonts w:cs="Arial" w:ascii="sans-serif" w:hAnsi="sans-serif"/>
                <w:b/>
                <w:bCs/>
              </w:rPr>
              <w:t>entity must take reasonable steps to ensure that the personal information it</w:t>
            </w:r>
            <w:r>
              <w:rPr>
                <w:rStyle w:val="Eop"/>
                <w:rFonts w:cs="Arial"/>
                <w:b/>
                <w:bCs/>
              </w:rPr>
              <w:br/>
            </w:r>
            <w:r>
              <w:rPr>
                <w:rStyle w:val="Eop"/>
                <w:rFonts w:cs="Arial" w:ascii="sans-serif" w:hAnsi="sans-serif"/>
                <w:b/>
                <w:bCs/>
              </w:rPr>
              <w:t>collects is accurate, up-to-date and complete</w:t>
            </w:r>
            <w:r>
              <w:rPr>
                <w:rStyle w:val="Eop"/>
                <w:rFonts w:cs="Arial"/>
                <w:b/>
                <w:bCs/>
              </w:rPr>
              <w:t xml:space="preserve"> </w:t>
            </w:r>
          </w:p>
          <w:p>
            <w:pPr>
              <w:pStyle w:val="Normal"/>
              <w:widowControl w:val="false"/>
              <w:spacing w:before="0" w:after="0"/>
              <w:jc w:val="left"/>
              <w:rPr>
                <w:rFonts w:cs="Arial"/>
                <w:b/>
                <w:bCs/>
              </w:rPr>
            </w:pPr>
            <w:r>
              <w:rPr>
                <w:rFonts w:cs="Arial"/>
                <w:b/>
                <w:bCs/>
              </w:rPr>
            </w:r>
          </w:p>
        </w:tc>
        <w:tc>
          <w:tcPr>
            <w:tcW w:w="1985" w:type="dxa"/>
            <w:tcBorders>
              <w:top w:val="nil"/>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rPr>
              <w:t>Nothing stated</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rFonts w:cs="Arial"/>
              </w:rPr>
            </w:pPr>
            <w:r>
              <w:rPr>
                <w:rStyle w:val="Eop"/>
                <w:rFonts w:cs="Arial"/>
                <w:b/>
                <w:bCs/>
              </w:rPr>
              <w:t>X</w:t>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bCs/>
              </w:rPr>
            </w:pPr>
            <w:r>
              <w:rPr>
                <w:rFonts w:cs="Arial"/>
                <w:b/>
                <w:bCs/>
                <w:sz w:val="18"/>
              </w:rPr>
              <w:t xml:space="preserve">Security of personal information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rFonts w:cs="Arial"/>
              </w:rPr>
            </w:pPr>
            <w:bookmarkStart w:id="17" w:name="page1R_mcid3_Copy_1"/>
            <w:bookmarkEnd w:id="17"/>
            <w:r>
              <w:rPr>
                <w:rStyle w:val="Eop"/>
                <w:rFonts w:cs="Arial" w:ascii="sans-serif" w:hAnsi="sans-serif"/>
                <w:b/>
                <w:bCs/>
              </w:rPr>
              <w:t>must take reasonable steps to protect personal information it holds</w:t>
            </w:r>
            <w:r>
              <w:rPr>
                <w:rStyle w:val="Eop"/>
                <w:rFonts w:cs="Arial"/>
                <w:b/>
                <w:bCs/>
              </w:rPr>
              <w:br/>
            </w:r>
            <w:r>
              <w:rPr>
                <w:rStyle w:val="Eop"/>
                <w:rFonts w:cs="Arial" w:ascii="sans-serif" w:hAnsi="sans-serif"/>
                <w:b/>
                <w:bCs/>
              </w:rPr>
              <w:t>from misuse, interference and loss, as well as unauthorised access, modification</w:t>
            </w:r>
            <w:r>
              <w:rPr>
                <w:rStyle w:val="Eop"/>
                <w:rFonts w:cs="Arial"/>
                <w:b/>
                <w:bCs/>
              </w:rPr>
              <w:br/>
            </w:r>
            <w:r>
              <w:rPr>
                <w:rStyle w:val="Eop"/>
                <w:rFonts w:cs="Arial" w:ascii="sans-serif" w:hAnsi="sans-serif"/>
                <w:b/>
                <w:bCs/>
              </w:rPr>
              <w:t>or disclosure</w:t>
            </w:r>
            <w:r>
              <w:rPr>
                <w:rStyle w:val="Eop"/>
                <w:rFonts w:cs="Arial"/>
                <w:b/>
                <w:bCs/>
              </w:rPr>
              <w:t xml:space="preserve"> </w:t>
            </w:r>
          </w:p>
          <w:p>
            <w:pPr>
              <w:pStyle w:val="Normal"/>
              <w:widowControl w:val="false"/>
              <w:spacing w:before="0" w:after="0"/>
              <w:jc w:val="left"/>
              <w:rPr>
                <w:rFonts w:cs="Arial"/>
                <w:b/>
                <w:bCs/>
              </w:rPr>
            </w:pPr>
            <w:r>
              <w:rPr>
                <w:rFonts w:cs="Arial"/>
                <w:b/>
                <w:bCs/>
              </w:rPr>
            </w:r>
          </w:p>
        </w:tc>
        <w:tc>
          <w:tcPr>
            <w:tcW w:w="1985" w:type="dxa"/>
            <w:tcBorders>
              <w:top w:val="nil"/>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rPr>
              <w:t>Secures data with encryption and strong passwords</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rPr>
            </w:pPr>
            <w:r>
              <w:rPr>
                <w:rStyle w:val="Eop"/>
                <w:rFonts w:cs="Arial"/>
                <w:b/>
                <w:bCs/>
              </w:rPr>
              <w:t>X</w:t>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rFonts w:cs="Arial"/>
                <w:b/>
                <w:bCs/>
              </w:rPr>
            </w:pPr>
            <w:r>
              <w:rPr>
                <w:rFonts w:cs="Arial"/>
                <w:b/>
                <w:bCs/>
              </w:rPr>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bCs/>
              </w:rPr>
            </w:pPr>
            <w:r>
              <w:rPr>
                <w:rFonts w:cs="Arial"/>
                <w:b/>
                <w:bCs/>
                <w:sz w:val="18"/>
              </w:rPr>
              <w:t xml:space="preserve">Access to personal information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rFonts w:cs="Arial"/>
              </w:rPr>
            </w:pPr>
            <w:r>
              <w:rPr>
                <w:rStyle w:val="Eop"/>
                <w:rFonts w:cs="Arial" w:ascii="sans-serif" w:hAnsi="sans-serif"/>
                <w:b/>
                <w:bCs/>
              </w:rPr>
              <w:t>entity that holds personal information about an individual</w:t>
            </w:r>
            <w:r>
              <w:rPr>
                <w:rStyle w:val="Eop"/>
                <w:rFonts w:cs="Arial"/>
                <w:b/>
                <w:bCs/>
              </w:rPr>
              <w:br/>
            </w:r>
            <w:r>
              <w:rPr>
                <w:rStyle w:val="Eop"/>
                <w:rFonts w:cs="Arial" w:ascii="sans-serif" w:hAnsi="sans-serif"/>
                <w:b/>
                <w:bCs/>
              </w:rPr>
              <w:t>to give the individual access to that information on request</w:t>
            </w:r>
            <w:r>
              <w:rPr>
                <w:rStyle w:val="Eop"/>
                <w:rFonts w:cs="Arial"/>
                <w:b/>
                <w:bCs/>
              </w:rPr>
              <w:t xml:space="preserve"> </w:t>
            </w:r>
          </w:p>
          <w:p>
            <w:pPr>
              <w:pStyle w:val="Normal"/>
              <w:widowControl w:val="false"/>
              <w:spacing w:before="0" w:after="0"/>
              <w:jc w:val="left"/>
              <w:rPr>
                <w:rFonts w:cs="Arial"/>
                <w:b/>
                <w:bCs/>
              </w:rPr>
            </w:pPr>
            <w:r>
              <w:rPr>
                <w:rFonts w:cs="Arial"/>
                <w:b/>
                <w:bCs/>
              </w:rPr>
            </w:r>
          </w:p>
        </w:tc>
        <w:tc>
          <w:tcPr>
            <w:tcW w:w="1985" w:type="dxa"/>
            <w:tcBorders>
              <w:top w:val="nil"/>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rPr>
              <w:t>Nothing Stated</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rFonts w:cs="Arial"/>
              </w:rPr>
            </w:pPr>
            <w:r>
              <w:rPr>
                <w:rStyle w:val="Eop"/>
                <w:rFonts w:cs="Arial"/>
                <w:b/>
                <w:bCs/>
              </w:rPr>
              <w:t>X</w:t>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r>
      <w:tr>
        <w:trPr>
          <w:trHeight w:val="900"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bCs/>
              </w:rPr>
            </w:pPr>
            <w:r>
              <w:rPr>
                <w:rFonts w:cs="Arial"/>
                <w:b/>
                <w:bCs/>
                <w:sz w:val="18"/>
              </w:rPr>
              <w:t xml:space="preserve">Correction of personal information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rFonts w:cs="Arial"/>
              </w:rPr>
            </w:pPr>
            <w:bookmarkStart w:id="18" w:name="page1R_mcid74"/>
            <w:bookmarkEnd w:id="18"/>
            <w:r>
              <w:rPr>
                <w:rStyle w:val="Eop"/>
                <w:rFonts w:cs="Arial" w:ascii="sans-serif" w:hAnsi="sans-serif"/>
                <w:b/>
                <w:bCs/>
              </w:rPr>
              <w:t>entity to take reasonable steps to correct personal</w:t>
            </w:r>
            <w:r>
              <w:rPr>
                <w:rStyle w:val="Eop"/>
                <w:rFonts w:cs="Arial"/>
                <w:b/>
                <w:bCs/>
              </w:rPr>
              <w:br/>
            </w:r>
            <w:r>
              <w:rPr>
                <w:rStyle w:val="Eop"/>
                <w:rFonts w:cs="Arial" w:ascii="sans-serif" w:hAnsi="sans-serif"/>
                <w:b/>
                <w:bCs/>
              </w:rPr>
              <w:t>information to ensure that, having regard to the purpose for which it is held, it is</w:t>
            </w:r>
            <w:r>
              <w:rPr>
                <w:rStyle w:val="Eop"/>
                <w:rFonts w:cs="Arial"/>
                <w:b/>
                <w:bCs/>
              </w:rPr>
              <w:br/>
            </w:r>
            <w:r>
              <w:rPr>
                <w:rStyle w:val="Eop"/>
                <w:rFonts w:cs="Arial" w:ascii="sans-serif" w:hAnsi="sans-serif"/>
                <w:b/>
                <w:bCs/>
              </w:rPr>
              <w:t>accurate, up-to-date, complete, relevant and not misleading</w:t>
            </w:r>
            <w:r>
              <w:rPr>
                <w:rStyle w:val="Eop"/>
                <w:rFonts w:cs="Arial"/>
                <w:b/>
                <w:bCs/>
              </w:rPr>
              <w:t xml:space="preserve"> </w:t>
            </w:r>
          </w:p>
          <w:p>
            <w:pPr>
              <w:pStyle w:val="Normal"/>
              <w:widowControl w:val="false"/>
              <w:spacing w:before="0" w:after="0"/>
              <w:jc w:val="left"/>
              <w:rPr>
                <w:rFonts w:cs="Arial"/>
                <w:b/>
                <w:bCs/>
              </w:rPr>
            </w:pPr>
            <w:r>
              <w:rPr>
                <w:rFonts w:cs="Arial"/>
                <w:b/>
                <w:bCs/>
              </w:rPr>
            </w:r>
          </w:p>
        </w:tc>
        <w:tc>
          <w:tcPr>
            <w:tcW w:w="1985" w:type="dxa"/>
            <w:tcBorders>
              <w:top w:val="nil"/>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rPr>
              <w:t>Nothing stated</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rFonts w:cs="Arial"/>
              </w:rPr>
            </w:pPr>
            <w:r>
              <w:rPr>
                <w:rStyle w:val="Eop"/>
                <w:rFonts w:cs="Arial"/>
                <w:b/>
                <w:bCs/>
              </w:rPr>
              <w:t>X</w:t>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rPr>
            </w:pPr>
            <w:r>
              <w:rPr>
                <w:rFonts w:cs="Arial"/>
                <w:b/>
                <w:bCs/>
              </w:rPr>
            </w:r>
          </w:p>
        </w:tc>
      </w:tr>
    </w:tbl>
    <w:p>
      <w:pPr>
        <w:pStyle w:val="Normal"/>
        <w:spacing w:lineRule="auto" w:line="360"/>
        <w:rPr>
          <w:rStyle w:val="Eop"/>
          <w:rFonts w:cs="Arial"/>
          <w:color w:val="1F4E79" w:themeColor="accent1" w:themeShade="80"/>
        </w:rPr>
      </w:pPr>
      <w:r>
        <w:rPr>
          <w:rFonts w:cs="Arial"/>
          <w:color w:val="1F4E79" w:themeColor="accent1" w:themeShade="80"/>
        </w:rPr>
      </w:r>
    </w:p>
    <w:p>
      <w:pPr>
        <w:pStyle w:val="Normal"/>
        <w:ind w:left="993" w:hanging="993"/>
        <w:rPr>
          <w:rStyle w:val="Eop"/>
          <w:rFonts w:cs="Arial"/>
        </w:rPr>
      </w:pPr>
      <w:r>
        <w:rPr>
          <w:rFonts w:cs="Arial"/>
        </w:rPr>
      </w:r>
    </w:p>
    <w:tbl>
      <w:tblPr>
        <w:tblStyle w:val="TableGrid"/>
        <w:tblW w:w="9356" w:type="dxa"/>
        <w:jc w:val="left"/>
        <w:tblInd w:w="139" w:type="dxa"/>
        <w:tblLayout w:type="fixed"/>
        <w:tblCellMar>
          <w:top w:w="0" w:type="dxa"/>
          <w:left w:w="108" w:type="dxa"/>
          <w:bottom w:w="0" w:type="dxa"/>
          <w:right w:w="108" w:type="dxa"/>
        </w:tblCellMar>
        <w:tblLook w:firstRow="1" w:noVBand="1" w:lastRow="0" w:firstColumn="1" w:lastColumn="0" w:noHBand="0" w:val="04a0"/>
      </w:tblPr>
      <w:tblGrid>
        <w:gridCol w:w="1985"/>
        <w:gridCol w:w="3543"/>
        <w:gridCol w:w="3828"/>
      </w:tblGrid>
      <w:tr>
        <w:trPr>
          <w:trHeight w:val="481" w:hRule="atLeast"/>
        </w:trPr>
        <w:tc>
          <w:tcPr>
            <w:tcW w:w="1985"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BEST PRACTICES</w:t>
            </w:r>
          </w:p>
        </w:tc>
        <w:tc>
          <w:tcPr>
            <w:tcW w:w="354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EVALUATION/SHORTCOMINGS</w:t>
            </w:r>
          </w:p>
        </w:tc>
        <w:tc>
          <w:tcPr>
            <w:tcW w:w="382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PROPOSED IMPROVEMENTS</w:t>
            </w:r>
          </w:p>
        </w:tc>
      </w:tr>
      <w:tr>
        <w:trPr/>
        <w:tc>
          <w:tcPr>
            <w:tcW w:w="198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rPr>
              <w:t>Data backup</w:t>
            </w:r>
          </w:p>
        </w:tc>
        <w:tc>
          <w:tcPr>
            <w:tcW w:w="3543"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rPr>
              <w:t>It is good that Turtle movers backs up their data but they do not state how often it is done, where it is store and how long it is kept for.</w:t>
            </w:r>
          </w:p>
        </w:tc>
        <w:tc>
          <w:tcPr>
            <w:tcW w:w="3828"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rPr>
              <w:t>They should specify how often the data is backed up and make sure it is store somewhere else with encryption and correct access controls. They should also specify how long the backups are kept for.</w:t>
            </w:r>
          </w:p>
        </w:tc>
      </w:tr>
      <w:tr>
        <w:trPr/>
        <w:tc>
          <w:tcPr>
            <w:tcW w:w="198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rPr>
              <w:t>Conducting proper disposal of electronic and physical copies of personal and protected data</w:t>
            </w:r>
          </w:p>
        </w:tc>
        <w:tc>
          <w:tcPr>
            <w:tcW w:w="3543"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rPr>
              <w:t>It is good that the company disposes of data but does not state how it is done meaning it can be mishandled during disposal. There is no specified responsible party for the destruction of the data</w:t>
            </w:r>
          </w:p>
        </w:tc>
        <w:tc>
          <w:tcPr>
            <w:tcW w:w="3828"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rPr>
              <w:t>The company should specify exactly how the data is handled and disposed of. It should also be stated who is responsible for the disposal and it should be made sure that it is disposed in a legal manner.</w:t>
            </w:r>
          </w:p>
        </w:tc>
      </w:tr>
    </w:tbl>
    <w:p>
      <w:pPr>
        <w:pStyle w:val="Paragraph"/>
        <w:spacing w:lineRule="auto" w:line="360" w:beforeAutospacing="0" w:before="0" w:afterAutospacing="0" w:after="0"/>
        <w:textAlignment w:val="baseline"/>
        <w:rPr>
          <w:rStyle w:val="Eop"/>
          <w:rFonts w:ascii="Arial" w:hAnsi="Arial" w:cs="Arial"/>
          <w:b/>
          <w:szCs w:val="22"/>
        </w:rPr>
      </w:pPr>
      <w:r>
        <w:rPr>
          <w:rFonts w:cs="Arial" w:ascii="Arial" w:hAnsi="Arial"/>
          <w:b/>
          <w:szCs w:val="22"/>
        </w:rPr>
      </w:r>
    </w:p>
    <w:p>
      <w:pPr>
        <w:pStyle w:val="Normal"/>
        <w:rPr>
          <w:rStyle w:val="Eop"/>
          <w:rFonts w:cs="Arial"/>
          <w:color w:val="1F4E79" w:themeColor="accent1" w:themeShade="80"/>
        </w:rPr>
      </w:pPr>
      <w:r>
        <w:rPr>
          <w:rFonts w:cs="Arial"/>
          <w:color w:val="1F4E79" w:themeColor="accent1" w:themeShade="80"/>
        </w:rPr>
      </w:r>
    </w:p>
    <w:p>
      <w:pPr>
        <w:pStyle w:val="Heading1"/>
        <w:rPr>
          <w:rStyle w:val="Eop"/>
          <w:rFonts w:cs="Arial"/>
          <w:color w:val="1F4E79" w:themeColor="accent1" w:themeShade="80"/>
        </w:rPr>
      </w:pPr>
      <w:bookmarkStart w:id="19" w:name="_Toc124768031"/>
      <w:r>
        <w:rPr>
          <w:rStyle w:val="Eop"/>
          <w:rFonts w:cs="Arial"/>
          <w:szCs w:val="22"/>
        </w:rPr>
        <w:t>6</w:t>
        <w:tab/>
        <w:t>Privacy Compliance Findings and Recommendations</w:t>
      </w:r>
      <w:bookmarkEnd w:id="19"/>
    </w:p>
    <w:p>
      <w:pPr>
        <w:pStyle w:val="Normal"/>
        <w:spacing w:lineRule="auto" w:line="360"/>
        <w:rPr>
          <w:rStyle w:val="Eop"/>
          <w:rFonts w:cs="Arial"/>
          <w:color w:val="1F4E79" w:themeColor="accent1" w:themeShade="80"/>
        </w:rPr>
      </w:pPr>
      <w:r>
        <w:rPr>
          <w:rFonts w:cs="Arial"/>
          <w:color w:val="1F4E79" w:themeColor="accent1" w:themeShade="80"/>
        </w:rPr>
      </w:r>
    </w:p>
    <w:p>
      <w:pPr>
        <w:pStyle w:val="TextBody"/>
        <w:spacing w:lineRule="auto" w:line="360"/>
        <w:rPr/>
      </w:pPr>
      <w:r>
        <w:rPr>
          <w:rStyle w:val="Eop"/>
          <w:rFonts w:cs="Arial"/>
          <w:b/>
          <w:bCs/>
          <w:color w:val="000000" w:themeShade="80"/>
        </w:rPr>
        <w:t>After reviewing Turtle Movers' privacy policy and privacy practices, here are the findings and recommendations:</w:t>
      </w:r>
    </w:p>
    <w:p>
      <w:pPr>
        <w:pStyle w:val="TextBody"/>
        <w:rPr>
          <w:b/>
          <w:bCs/>
          <w:color w:val="000000"/>
        </w:rPr>
      </w:pPr>
      <w:r>
        <w:rPr>
          <w:b/>
          <w:bCs/>
          <w:color w:val="000000"/>
        </w:rPr>
        <w:t xml:space="preserve">a) Level of compliance with current privacy legislation and required improvements: </w:t>
      </w:r>
    </w:p>
    <w:p>
      <w:pPr>
        <w:pStyle w:val="TextBody"/>
        <w:numPr>
          <w:ilvl w:val="0"/>
          <w:numId w:val="4"/>
        </w:numPr>
        <w:rPr>
          <w:b/>
          <w:bCs/>
          <w:color w:val="000000"/>
        </w:rPr>
      </w:pPr>
      <w:r>
        <w:rPr>
          <w:b/>
          <w:bCs/>
          <w:color w:val="000000"/>
        </w:rPr>
        <w:t xml:space="preserve">Turtle Movers' privacy policy appears to be generally compliant with the Australian Privacy Act 1988 (Cth) and other relevant privacy laws and regulations. However, there are a few areas where improvement is needed, including: </w:t>
      </w:r>
    </w:p>
    <w:p>
      <w:pPr>
        <w:pStyle w:val="TextBody"/>
        <w:numPr>
          <w:ilvl w:val="1"/>
          <w:numId w:val="4"/>
        </w:numPr>
        <w:rPr>
          <w:b/>
          <w:bCs/>
          <w:color w:val="000000"/>
        </w:rPr>
      </w:pPr>
      <w:r>
        <w:rPr>
          <w:b/>
          <w:bCs/>
          <w:color w:val="000000"/>
        </w:rPr>
        <w:t>Consent: Even though it is stated in the privacy policy that consent will be seeked when data is needed to be shared with a third party, it does not state how this consent is gathered and the documentation process.</w:t>
      </w:r>
    </w:p>
    <w:p>
      <w:pPr>
        <w:pStyle w:val="TextBody"/>
        <w:numPr>
          <w:ilvl w:val="1"/>
          <w:numId w:val="4"/>
        </w:numPr>
        <w:rPr>
          <w:b/>
          <w:bCs/>
          <w:color w:val="000000"/>
        </w:rPr>
      </w:pPr>
      <w:r>
        <w:rPr>
          <w:b/>
          <w:bCs/>
          <w:color w:val="000000"/>
        </w:rPr>
        <w:t xml:space="preserve">Retention and disposal of data: Turtle Movers do state that data will be disposed off after being kept for the required time but it does not state how long this time is and how the data is disposed of. </w:t>
      </w:r>
    </w:p>
    <w:p>
      <w:pPr>
        <w:pStyle w:val="TextBody"/>
        <w:numPr>
          <w:ilvl w:val="1"/>
          <w:numId w:val="4"/>
        </w:numPr>
        <w:rPr>
          <w:b/>
          <w:bCs/>
          <w:color w:val="000000"/>
        </w:rPr>
      </w:pPr>
      <w:r>
        <w:rPr>
          <w:b/>
          <w:bCs/>
          <w:color w:val="000000"/>
        </w:rPr>
        <w:t>Transparency: The policy could be more transparent in how the company collects, uses, retains and discloses personal information by being more specific about each of the mentioned categories.</w:t>
      </w:r>
    </w:p>
    <w:p>
      <w:pPr>
        <w:pStyle w:val="TextBody"/>
        <w:numPr>
          <w:ilvl w:val="0"/>
          <w:numId w:val="4"/>
        </w:numPr>
        <w:rPr>
          <w:b/>
          <w:bCs/>
          <w:color w:val="000000"/>
        </w:rPr>
      </w:pPr>
      <w:r>
        <w:rPr>
          <w:b/>
          <w:bCs/>
          <w:color w:val="000000"/>
        </w:rPr>
        <w:t>Adequacy of current practices and required improvements: Turtle Movers' privacy practices appear to be adequate in protecting the privacy of customers' personal data. However, there are a few areas where improvement is needed, including:</w:t>
      </w:r>
    </w:p>
    <w:p>
      <w:pPr>
        <w:pStyle w:val="TextBody"/>
        <w:numPr>
          <w:ilvl w:val="1"/>
          <w:numId w:val="4"/>
        </w:numPr>
        <w:rPr>
          <w:b/>
          <w:bCs/>
          <w:color w:val="000000"/>
        </w:rPr>
      </w:pPr>
      <w:r>
        <w:rPr>
          <w:b/>
          <w:bCs/>
          <w:color w:val="000000"/>
        </w:rPr>
        <w:t>Employee training: Although staff go through training, the company should ensure this training is up to date and when any of the laws/legislations change, the staff should be retrained.</w:t>
      </w:r>
    </w:p>
    <w:p>
      <w:pPr>
        <w:pStyle w:val="TextBody"/>
        <w:numPr>
          <w:ilvl w:val="1"/>
          <w:numId w:val="4"/>
        </w:numPr>
        <w:rPr>
          <w:b/>
          <w:bCs/>
          <w:color w:val="000000"/>
        </w:rPr>
      </w:pPr>
      <w:r>
        <w:rPr>
          <w:b/>
          <w:bCs/>
          <w:color w:val="000000"/>
        </w:rPr>
        <w:t>Insider threats: Turtle Movers should continue to improve their efforts to protect against insider threats by implementing access controls, monitoring employee activity, and conducting regular audits.</w:t>
      </w:r>
    </w:p>
    <w:p>
      <w:pPr>
        <w:pStyle w:val="TextBody"/>
        <w:numPr>
          <w:ilvl w:val="1"/>
          <w:numId w:val="4"/>
        </w:numPr>
        <w:rPr>
          <w:b/>
          <w:bCs/>
          <w:color w:val="000000"/>
        </w:rPr>
      </w:pPr>
      <w:r>
        <w:rPr>
          <w:b/>
          <w:bCs/>
          <w:color w:val="000000"/>
        </w:rPr>
        <w:t>Disposal of data: Turtle Movers should ensure that they dispose of personal data securely and in a legal manner to prevent data breaches and protect the privacy of customers' personal data.</w:t>
      </w:r>
    </w:p>
    <w:p>
      <w:pPr>
        <w:pStyle w:val="TextBody"/>
        <w:numPr>
          <w:ilvl w:val="1"/>
          <w:numId w:val="4"/>
        </w:numPr>
        <w:rPr>
          <w:b/>
          <w:bCs/>
          <w:color w:val="000000"/>
        </w:rPr>
      </w:pPr>
      <w:r>
        <w:rPr>
          <w:b/>
          <w:bCs/>
          <w:color w:val="000000"/>
        </w:rPr>
        <w:t>Data backup: While Turtle Movers states that they back up their data, they ensure the backups are regular and stores somewhere else with proper encryption and access controls as well as define how long they are retained for.</w:t>
      </w:r>
    </w:p>
    <w:p>
      <w:pPr>
        <w:pStyle w:val="TextBody"/>
        <w:rPr>
          <w:rFonts w:cs="Arial"/>
          <w:b/>
          <w:bCs/>
          <w:color w:val="000000" w:themeShade="80"/>
        </w:rPr>
      </w:pPr>
      <w:r>
        <w:rPr>
          <w:rFonts w:cs="Arial"/>
          <w:b/>
          <w:bCs/>
          <w:color w:val="000000" w:themeShade="80"/>
        </w:rPr>
      </w:r>
    </w:p>
    <w:p>
      <w:pPr>
        <w:pStyle w:val="TextBody"/>
        <w:rPr>
          <w:b/>
          <w:bCs/>
          <w:color w:val="000000"/>
        </w:rPr>
      </w:pPr>
      <w:r>
        <w:rPr>
          <w:b/>
          <w:bCs/>
          <w:color w:val="000000"/>
        </w:rPr>
        <w:t>Overall, Turtle Movers does appear to take privacy and their customer’s data seriously, there are several area that need to be improved to follow laws and legislations within Australia.</w:t>
      </w:r>
    </w:p>
    <w:p>
      <w:pPr>
        <w:pStyle w:val="TextBody"/>
        <w:rPr>
          <w:rStyle w:val="Eop"/>
          <w:rFonts w:cs="Arial"/>
          <w:color w:val="1F4E79" w:themeColor="accent1" w:themeShade="80"/>
        </w:rPr>
      </w:pPr>
      <w:r>
        <w:rPr>
          <w:rFonts w:cs="Arial"/>
          <w:color w:val="1F4E79" w:themeColor="accent1" w:themeShade="80"/>
        </w:rPr>
      </w:r>
    </w:p>
    <w:p>
      <w:pPr>
        <w:pStyle w:val="Normal"/>
        <w:rPr>
          <w:rStyle w:val="Eop"/>
          <w:rFonts w:cs="Arial"/>
          <w:color w:val="1F4E79" w:themeColor="accent1" w:themeShade="80"/>
          <w:lang w:val="en-AU"/>
        </w:rPr>
      </w:pPr>
      <w:r>
        <w:rPr>
          <w:rFonts w:cs="Arial"/>
          <w:color w:val="1F4E79" w:themeColor="accent1" w:themeShade="80"/>
          <w:lang w:val="en-AU"/>
        </w:rPr>
      </w:r>
    </w:p>
    <w:p>
      <w:pPr>
        <w:pStyle w:val="Heading1"/>
        <w:rPr>
          <w:rStyle w:val="Eop"/>
          <w:rFonts w:cs="Arial"/>
          <w:color w:val="1F4E79" w:themeColor="accent1" w:themeShade="80"/>
        </w:rPr>
      </w:pPr>
      <w:bookmarkStart w:id="20" w:name="_Toc124768032"/>
      <w:bookmarkStart w:id="21" w:name="_Toc83251853"/>
      <w:r>
        <w:rPr>
          <w:rStyle w:val="Eop"/>
          <w:rFonts w:cs="Arial"/>
          <w:szCs w:val="22"/>
        </w:rPr>
        <w:t>7</w:t>
        <w:tab/>
      </w:r>
      <w:bookmarkEnd w:id="21"/>
      <w:r>
        <w:rPr>
          <w:rStyle w:val="Eop"/>
          <w:rFonts w:cs="Arial"/>
          <w:szCs w:val="22"/>
        </w:rPr>
        <w:t>Ethical behaviour in cyber security</w:t>
      </w:r>
      <w:bookmarkEnd w:id="20"/>
      <w:r>
        <w:rPr>
          <w:rStyle w:val="Eop"/>
          <w:rFonts w:cs="Arial"/>
          <w:szCs w:val="22"/>
        </w:rPr>
        <w:t xml:space="preserve"> </w:t>
      </w:r>
    </w:p>
    <w:p>
      <w:pPr>
        <w:pStyle w:val="Normal"/>
        <w:rPr>
          <w:rStyle w:val="Eop"/>
          <w:rFonts w:cs="Arial"/>
          <w:color w:val="1F4E79" w:themeColor="accent1" w:themeShade="80"/>
        </w:rPr>
      </w:pPr>
      <w:r>
        <w:rPr>
          <w:rFonts w:cs="Arial"/>
          <w:color w:val="1F4E79" w:themeColor="accent1" w:themeShade="80"/>
        </w:rPr>
      </w:r>
    </w:p>
    <w:p>
      <w:pPr>
        <w:pStyle w:val="Heading2"/>
        <w:rPr>
          <w:rStyle w:val="Eop"/>
        </w:rPr>
      </w:pPr>
      <w:bookmarkStart w:id="22" w:name="_Toc124768033"/>
      <w:r>
        <w:rPr>
          <w:rStyle w:val="Eop"/>
        </w:rPr>
        <w:t>7.1</w:t>
        <w:tab/>
        <w:t>Code of Practice (for only one of the two organisations)</w:t>
      </w:r>
      <w:bookmarkEnd w:id="22"/>
    </w:p>
    <w:p>
      <w:pPr>
        <w:pStyle w:val="Normal"/>
        <w:rPr>
          <w:rStyle w:val="Eop"/>
          <w:rFonts w:cs="Arial"/>
          <w:color w:val="1F4E79" w:themeColor="accent1" w:themeShade="80"/>
        </w:rPr>
      </w:pPr>
      <w:r>
        <w:rPr>
          <w:rFonts w:cs="Arial"/>
          <w:color w:val="1F4E79" w:themeColor="accent1" w:themeShade="80"/>
        </w:rPr>
      </w:r>
    </w:p>
    <w:p>
      <w:pPr>
        <w:pStyle w:val="Normal"/>
        <w:rPr>
          <w:rStyle w:val="Eop"/>
          <w:rFonts w:cs="Arial"/>
          <w:color w:val="1F4E79" w:themeColor="accent1" w:themeShade="80"/>
        </w:rPr>
      </w:pPr>
      <w:r>
        <w:rPr>
          <w:rStyle w:val="Eop"/>
          <w:rFonts w:cs="Arial"/>
          <w:color w:val="1F4E79" w:themeColor="accent1" w:themeShade="80"/>
        </w:rPr>
        <w:t xml:space="preserve">Write a complete Ethics Code of Practice for the organisation’s cyber security technicians. </w:t>
      </w:r>
    </w:p>
    <w:p>
      <w:pPr>
        <w:pStyle w:val="Normal"/>
        <w:rPr>
          <w:rStyle w:val="Eop"/>
          <w:rFonts w:cs="Arial"/>
          <w:color w:val="1F4E79" w:themeColor="accent1" w:themeShade="80"/>
        </w:rPr>
      </w:pPr>
      <w:r>
        <w:rPr>
          <w:rFonts w:cs="Arial"/>
          <w:color w:val="1F4E79" w:themeColor="accent1" w:themeShade="80"/>
        </w:rPr>
      </w:r>
    </w:p>
    <w:p>
      <w:pPr>
        <w:pStyle w:val="Normal"/>
        <w:rPr>
          <w:rStyle w:val="Eop"/>
          <w:rFonts w:cs="Arial"/>
          <w:color w:val="1F4E79" w:themeColor="accent1" w:themeShade="80"/>
        </w:rPr>
      </w:pPr>
      <w:r>
        <w:rPr>
          <w:rStyle w:val="Eop"/>
          <w:rFonts w:cs="Arial"/>
          <w:color w:val="1F4E79" w:themeColor="accent1" w:themeShade="80"/>
        </w:rPr>
        <w:t>Explain how the code will be distributed and implemented in the organisation.</w:t>
      </w:r>
    </w:p>
    <w:p>
      <w:pPr>
        <w:pStyle w:val="Normal"/>
        <w:rPr>
          <w:rStyle w:val="Eop"/>
          <w:rFonts w:cs="Arial"/>
          <w:color w:val="1F4E79" w:themeColor="accent1" w:themeShade="80"/>
        </w:rPr>
      </w:pPr>
      <w:r>
        <w:rPr/>
      </w:r>
    </w:p>
    <w:p>
      <w:pPr>
        <w:pStyle w:val="Normal"/>
        <w:rPr>
          <w:rStyle w:val="Eop"/>
          <w:rFonts w:cs="Arial"/>
          <w:color w:val="1F4E79" w:themeColor="accent1" w:themeShade="80"/>
        </w:rPr>
      </w:pPr>
      <w:r>
        <w:rPr>
          <w:rStyle w:val="Eop"/>
          <w:rFonts w:cs="Arial"/>
          <w:color w:val="1F4E79" w:themeColor="accent1" w:themeShade="80"/>
        </w:rPr>
        <w:t>As a cyber security technician at Turtle Movers, you are expected to adhere to the following code of practice to ensure all data is handled ethically and securely:</w:t>
      </w:r>
    </w:p>
    <w:p>
      <w:pPr>
        <w:pStyle w:val="Normal"/>
        <w:numPr>
          <w:ilvl w:val="0"/>
          <w:numId w:val="5"/>
        </w:numPr>
        <w:rPr/>
      </w:pPr>
      <w:r>
        <w:rPr/>
        <w:t>Respect confidentiality and privacy: As a technician, you will have access to the customers personal data included and not limited to financials, addresses and other personal information. You must not share or disclose any information to any unauthorised party.</w:t>
      </w:r>
    </w:p>
    <w:p>
      <w:pPr>
        <w:pStyle w:val="Normal"/>
        <w:numPr>
          <w:ilvl w:val="0"/>
          <w:numId w:val="5"/>
        </w:numPr>
        <w:rPr/>
      </w:pPr>
      <w:r>
        <w:rPr/>
        <w:t>Maintain data integrity: You must ensure that any and all data transmitted or stored must be accurate and complete. You must regularly check for any signs of tampering or any unauthorised access to the data.</w:t>
      </w:r>
    </w:p>
    <w:p>
      <w:pPr>
        <w:pStyle w:val="Normal"/>
        <w:numPr>
          <w:ilvl w:val="0"/>
          <w:numId w:val="5"/>
        </w:numPr>
        <w:rPr/>
      </w:pPr>
      <w:r>
        <w:rPr/>
        <w:t>Ensure compliance with legislations and laws: You must ensure that everything you do adheres to the relevant legislation and ensure everything related to cyber within the company also is compliant.</w:t>
      </w:r>
    </w:p>
    <w:p>
      <w:pPr>
        <w:pStyle w:val="Normal"/>
        <w:numPr>
          <w:ilvl w:val="0"/>
          <w:numId w:val="5"/>
        </w:numPr>
        <w:rPr/>
      </w:pPr>
      <w:r>
        <w:rPr/>
        <w:t>Deal with vulnerabilities ethically: As the technician you must immediately report any vulnerabilities found within the system. You should not exploit it for your own personal gain or any other malicious activities.</w:t>
      </w:r>
    </w:p>
    <w:p>
      <w:pPr>
        <w:pStyle w:val="Normal"/>
        <w:numPr>
          <w:ilvl w:val="0"/>
          <w:numId w:val="5"/>
        </w:numPr>
        <w:rPr/>
      </w:pPr>
      <w:r>
        <w:rPr/>
        <w:t>Maintain up to date awareness and training: With the ever evolving cyber world, you must ensure you are up to date with the latest in vulnerabilities and developments in the field. It is also highly recommended that you participate in training and skill development.</w:t>
      </w:r>
    </w:p>
    <w:p>
      <w:pPr>
        <w:pStyle w:val="Normal"/>
        <w:numPr>
          <w:ilvl w:val="0"/>
          <w:numId w:val="5"/>
        </w:numPr>
        <w:rPr/>
      </w:pPr>
      <w:r>
        <w:rPr/>
        <w:t>Ensure system availability: The availability of the companies website is crucial to business so it is your responsibility that the website is available to customers at all times and when it goes you should have a plan in place.</w:t>
      </w:r>
    </w:p>
    <w:p>
      <w:pPr>
        <w:pStyle w:val="Normal"/>
        <w:rPr/>
      </w:pPr>
      <w:r>
        <w:rPr/>
      </w:r>
    </w:p>
    <w:p>
      <w:pPr>
        <w:pStyle w:val="Normal"/>
        <w:rPr/>
      </w:pPr>
      <w:r>
        <w:rPr/>
        <w:t>By adhering to these practices you will keep the data of Turtle Movers secure while doing it all ethically.</w:t>
      </w:r>
    </w:p>
    <w:p>
      <w:pPr>
        <w:pStyle w:val="Normal"/>
        <w:rPr/>
      </w:pPr>
      <w:r>
        <w:rPr/>
      </w:r>
    </w:p>
    <w:p>
      <w:pPr>
        <w:pStyle w:val="Normal"/>
        <w:rPr/>
      </w:pPr>
      <w:r>
        <w:rPr/>
        <w:t xml:space="preserve">The code will be distributed throughout the organisation by training all technicians about the code of practice. This training will include the importance of the CIA triad and how best to follow the ethics code of practice. Regular monitoring and accountability will also ensure that the code is being followed at all times. </w:t>
      </w:r>
    </w:p>
    <w:p>
      <w:pPr>
        <w:pStyle w:val="Normal"/>
        <w:rPr>
          <w:rStyle w:val="Eop"/>
          <w:rFonts w:cs="Arial"/>
          <w:color w:val="1F4E79" w:themeColor="accent1" w:themeShade="80"/>
        </w:rPr>
      </w:pPr>
      <w:r>
        <w:rPr>
          <w:rFonts w:cs="Arial"/>
          <w:color w:val="1F4E79" w:themeColor="accent1" w:themeShade="80"/>
        </w:rPr>
      </w:r>
    </w:p>
    <w:p>
      <w:pPr>
        <w:pStyle w:val="Heading2"/>
        <w:rPr>
          <w:rStyle w:val="Eop"/>
        </w:rPr>
      </w:pPr>
      <w:bookmarkStart w:id="23" w:name="_Toc124768034"/>
      <w:r>
        <w:rPr>
          <w:rStyle w:val="Eop"/>
        </w:rPr>
        <w:t>7.2</w:t>
        <w:tab/>
        <w:t>Ethical practices (this part covers both organisations)</w:t>
      </w:r>
      <w:bookmarkEnd w:id="23"/>
    </w:p>
    <w:p>
      <w:pPr>
        <w:pStyle w:val="Normal"/>
        <w:rPr>
          <w:color w:val="1F4E79" w:themeColor="accent1" w:themeShade="80"/>
        </w:rPr>
      </w:pPr>
      <w:r>
        <w:rPr>
          <w:color w:val="1F4E79" w:themeColor="accent1" w:themeShade="80"/>
        </w:rPr>
        <w:t>Introductory paragraph.</w:t>
      </w:r>
    </w:p>
    <w:p>
      <w:pPr>
        <w:pStyle w:val="Normal"/>
        <w:rPr>
          <w:color w:val="1F4E79" w:themeColor="accent1" w:themeShade="80"/>
        </w:rPr>
      </w:pPr>
      <w:r>
        <w:rPr>
          <w:color w:val="1F4E79" w:themeColor="accent1" w:themeShade="80"/>
        </w:rPr>
      </w:r>
    </w:p>
    <w:p>
      <w:pPr>
        <w:pStyle w:val="Normal"/>
        <w:rPr>
          <w:color w:val="1F4E79" w:themeColor="accent1" w:themeShade="80"/>
        </w:rPr>
      </w:pPr>
      <w:r>
        <w:rPr>
          <w:color w:val="1F4E79" w:themeColor="accent1" w:themeShade="80"/>
        </w:rPr>
        <w:t>Identify and describe four (4) red team tools the organisation could use to exploit and compromise blue team defences.</w:t>
      </w:r>
    </w:p>
    <w:p>
      <w:pPr>
        <w:pStyle w:val="Normal"/>
        <w:rPr>
          <w:color w:val="1F4E79" w:themeColor="accent1" w:themeShade="80"/>
        </w:rPr>
      </w:pPr>
      <w:r>
        <w:rPr>
          <w:color w:val="1F4E79" w:themeColor="accent1" w:themeShade="80"/>
        </w:rPr>
      </w:r>
    </w:p>
    <w:p>
      <w:pPr>
        <w:pStyle w:val="Normal"/>
        <w:rPr>
          <w:color w:val="1F4E79" w:themeColor="accent1" w:themeShade="80"/>
        </w:rPr>
      </w:pPr>
      <w:r>
        <w:rPr>
          <w:color w:val="1F4E79" w:themeColor="accent1" w:themeShade="80"/>
        </w:rPr>
        <w:t>Identify and describe four (4) blue team tools the organisation could use to protect the network from cyber-attacks.</w:t>
      </w:r>
    </w:p>
    <w:p>
      <w:pPr>
        <w:pStyle w:val="Normal"/>
        <w:rPr>
          <w:color w:val="1F4E79" w:themeColor="accent1" w:themeShade="80"/>
        </w:rPr>
      </w:pPr>
      <w:r>
        <w:rPr>
          <w:color w:val="1F4E79" w:themeColor="accent1" w:themeShade="80"/>
        </w:rPr>
      </w:r>
    </w:p>
    <w:p>
      <w:pPr>
        <w:pStyle w:val="Normal"/>
        <w:rPr>
          <w:color w:val="1F4E79" w:themeColor="accent1" w:themeShade="80"/>
        </w:rPr>
      </w:pPr>
      <w:r>
        <w:rPr>
          <w:color w:val="1F4E79" w:themeColor="accent1" w:themeShade="80"/>
        </w:rPr>
        <w:t>Outline a set of ethical practices employees can apply when using red and blue team tools in public networks.</w:t>
      </w:r>
    </w:p>
    <w:p>
      <w:pPr>
        <w:pStyle w:val="Normal"/>
        <w:rPr>
          <w:color w:val="1F4E79" w:themeColor="accent1" w:themeShade="80"/>
        </w:rPr>
      </w:pPr>
      <w:r>
        <w:rPr>
          <w:color w:val="1F4E79" w:themeColor="accent1" w:themeShade="80"/>
        </w:rPr>
      </w:r>
    </w:p>
    <w:p>
      <w:pPr>
        <w:pStyle w:val="Normal"/>
        <w:rPr>
          <w:color w:val="1F4E79" w:themeColor="accent1" w:themeShade="80"/>
        </w:rPr>
      </w:pPr>
      <w:r>
        <w:rPr>
          <w:color w:val="1F4E79" w:themeColor="accent1" w:themeShade="80"/>
        </w:rPr>
        <w:t>Consequences of unethical behaviour:</w:t>
      </w:r>
    </w:p>
    <w:p>
      <w:pPr>
        <w:pStyle w:val="Normal"/>
        <w:rPr>
          <w:color w:val="1F4E79" w:themeColor="accent1" w:themeShade="80"/>
        </w:rPr>
      </w:pPr>
      <w:r>
        <w:rPr>
          <w:color w:val="1F4E79" w:themeColor="accent1" w:themeShade="80"/>
        </w:rPr>
      </w:r>
    </w:p>
    <w:p>
      <w:pPr>
        <w:pStyle w:val="ListParagraph"/>
        <w:numPr>
          <w:ilvl w:val="0"/>
          <w:numId w:val="2"/>
        </w:numPr>
        <w:ind w:left="426" w:hanging="360"/>
        <w:rPr>
          <w:color w:val="1F4E79" w:themeColor="accent1" w:themeShade="80"/>
        </w:rPr>
      </w:pPr>
      <w:r>
        <w:rPr>
          <w:color w:val="1F4E79" w:themeColor="accent1" w:themeShade="80"/>
        </w:rPr>
        <w:t>Outline the legal consequences of misusing skills gained using red and blue team tools and the potential data breaches that can occur when using these skills unauthorised.</w:t>
      </w:r>
    </w:p>
    <w:p>
      <w:pPr>
        <w:pStyle w:val="ListParagraph"/>
        <w:numPr>
          <w:ilvl w:val="0"/>
          <w:numId w:val="2"/>
        </w:numPr>
        <w:ind w:left="426" w:hanging="360"/>
        <w:rPr>
          <w:color w:val="1F4E79" w:themeColor="accent1" w:themeShade="80"/>
        </w:rPr>
      </w:pPr>
      <w:r>
        <w:rPr>
          <w:color w:val="1F4E79" w:themeColor="accent1" w:themeShade="80"/>
        </w:rPr>
        <w:t>Outline the consequences of unauthorised access to network devices</w:t>
      </w:r>
    </w:p>
    <w:p>
      <w:pPr>
        <w:pStyle w:val="ListParagraph"/>
        <w:numPr>
          <w:ilvl w:val="0"/>
          <w:numId w:val="2"/>
        </w:numPr>
        <w:ind w:left="426" w:hanging="360"/>
        <w:rPr>
          <w:color w:val="1F4E79" w:themeColor="accent1" w:themeShade="80"/>
        </w:rPr>
      </w:pPr>
      <w:r>
        <w:rPr>
          <w:color w:val="1F4E79" w:themeColor="accent1" w:themeShade="80"/>
        </w:rPr>
        <w:t>Outline the consequences of bypassing copyright media and applications obtained via file sharing or downloading</w:t>
      </w:r>
    </w:p>
    <w:p>
      <w:pPr>
        <w:pStyle w:val="Normal"/>
        <w:rPr>
          <w:color w:val="1F4E79" w:themeColor="accent1" w:themeShade="80"/>
        </w:rPr>
      </w:pPr>
      <w:r>
        <w:rPr>
          <w:color w:val="1F4E79" w:themeColor="accent1" w:themeShade="80"/>
        </w:rPr>
      </w:r>
    </w:p>
    <w:p>
      <w:pPr>
        <w:pStyle w:val="Normal"/>
        <w:rPr>
          <w:color w:val="1F4E79" w:themeColor="accent1" w:themeShade="80"/>
        </w:rPr>
      </w:pPr>
      <w:r>
        <w:rPr>
          <w:color w:val="1F4E79" w:themeColor="accent1" w:themeShade="80"/>
        </w:rPr>
        <w:t>Identify a minimum of four (4) examples of unethical behaviour that could happen in the organisations by the hand of cyber security technicians. For each example, explain the impact on the overall network and data security.</w:t>
      </w:r>
    </w:p>
    <w:p>
      <w:pPr>
        <w:pStyle w:val="Normal"/>
        <w:rPr/>
      </w:pPr>
      <w:r>
        <w:rPr/>
        <w:tab/>
      </w:r>
    </w:p>
    <w:tbl>
      <w:tblPr>
        <w:tblStyle w:val="TableGrid"/>
        <w:tblW w:w="8882" w:type="dxa"/>
        <w:jc w:val="left"/>
        <w:tblInd w:w="139" w:type="dxa"/>
        <w:tblLayout w:type="fixed"/>
        <w:tblCellMar>
          <w:top w:w="0" w:type="dxa"/>
          <w:left w:w="108" w:type="dxa"/>
          <w:bottom w:w="0" w:type="dxa"/>
          <w:right w:w="108" w:type="dxa"/>
        </w:tblCellMar>
        <w:tblLook w:firstRow="1" w:noVBand="1" w:lastRow="0" w:firstColumn="1" w:lastColumn="0" w:noHBand="0" w:val="04a0"/>
      </w:tblPr>
      <w:tblGrid>
        <w:gridCol w:w="3716"/>
        <w:gridCol w:w="5165"/>
      </w:tblGrid>
      <w:tr>
        <w:trPr>
          <w:trHeight w:val="481" w:hRule="atLeast"/>
        </w:trPr>
        <w:tc>
          <w:tcPr>
            <w:tcW w:w="3716"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UNETHICAL BEHAVIOUR</w:t>
            </w:r>
          </w:p>
        </w:tc>
        <w:tc>
          <w:tcPr>
            <w:tcW w:w="5165"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IMPACT ANALYSIS</w:t>
            </w:r>
          </w:p>
        </w:tc>
      </w:tr>
      <w:tr>
        <w:trPr/>
        <w:tc>
          <w:tcPr>
            <w:tcW w:w="371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Style w:val="Eop"/>
                <w:rFonts w:eastAsia="Times New Roman" w:cs="Arial"/>
                <w:kern w:val="0"/>
                <w:szCs w:val="20"/>
                <w:lang w:bidi="ar-SA"/>
              </w:rPr>
              <w:t xml:space="preserve"> </w:t>
            </w:r>
          </w:p>
        </w:tc>
        <w:tc>
          <w:tcPr>
            <w:tcW w:w="516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Fonts w:cs="Arial"/>
              </w:rPr>
            </w:r>
          </w:p>
        </w:tc>
      </w:tr>
      <w:tr>
        <w:trPr/>
        <w:tc>
          <w:tcPr>
            <w:tcW w:w="371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Fonts w:cs="Arial"/>
              </w:rPr>
            </w:r>
          </w:p>
        </w:tc>
        <w:tc>
          <w:tcPr>
            <w:tcW w:w="516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Fonts w:cs="Arial"/>
              </w:rPr>
            </w:r>
          </w:p>
        </w:tc>
      </w:tr>
      <w:tr>
        <w:trPr/>
        <w:tc>
          <w:tcPr>
            <w:tcW w:w="371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Fonts w:cs="Arial"/>
              </w:rPr>
            </w:r>
          </w:p>
        </w:tc>
        <w:tc>
          <w:tcPr>
            <w:tcW w:w="516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Fonts w:cs="Arial"/>
              </w:rPr>
            </w:r>
          </w:p>
        </w:tc>
      </w:tr>
      <w:tr>
        <w:trPr/>
        <w:tc>
          <w:tcPr>
            <w:tcW w:w="371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Style w:val="Eop"/>
                <w:rFonts w:eastAsia="Times New Roman" w:cs="Arial"/>
                <w:color w:val="5B9BD5" w:themeColor="accent1"/>
                <w:kern w:val="0"/>
                <w:sz w:val="18"/>
                <w:szCs w:val="20"/>
                <w:lang w:bidi="ar-SA"/>
              </w:rPr>
              <w:t>Add rows as required</w:t>
            </w:r>
          </w:p>
        </w:tc>
        <w:tc>
          <w:tcPr>
            <w:tcW w:w="516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Fonts w:cs="Arial"/>
              </w:rPr>
            </w:r>
          </w:p>
        </w:tc>
      </w:tr>
    </w:tbl>
    <w:p>
      <w:pPr>
        <w:pStyle w:val="Normal"/>
        <w:rPr/>
      </w:pPr>
      <w:r>
        <w:rPr/>
        <w:tab/>
      </w:r>
    </w:p>
    <w:p>
      <w:pPr>
        <w:pStyle w:val="Normal"/>
        <w:rPr/>
      </w:pPr>
      <w:r>
        <w:rPr/>
      </w:r>
    </w:p>
    <w:p>
      <w:pPr>
        <w:pStyle w:val="Normal"/>
        <w:rPr>
          <w:rStyle w:val="Eop"/>
          <w:rFonts w:cs="Arial"/>
        </w:rPr>
      </w:pPr>
      <w:r>
        <w:rPr>
          <w:rStyle w:val="Eop"/>
          <w:rFonts w:cs="Arial"/>
        </w:rPr>
        <w:t>Identify three (3) downloading file-sharing services. For each service, identify its suitability and the security risks associated with it.</w:t>
      </w:r>
    </w:p>
    <w:p>
      <w:pPr>
        <w:pStyle w:val="Normal"/>
        <w:ind w:left="993" w:hanging="993"/>
        <w:rPr>
          <w:rStyle w:val="Eop"/>
          <w:rFonts w:cs="Arial"/>
        </w:rPr>
      </w:pPr>
      <w:r>
        <w:rPr>
          <w:rFonts w:cs="Arial"/>
        </w:rPr>
      </w:r>
    </w:p>
    <w:tbl>
      <w:tblPr>
        <w:tblStyle w:val="TableGrid"/>
        <w:tblW w:w="9024" w:type="dxa"/>
        <w:jc w:val="left"/>
        <w:tblInd w:w="-3" w:type="dxa"/>
        <w:tblLayout w:type="fixed"/>
        <w:tblCellMar>
          <w:top w:w="0" w:type="dxa"/>
          <w:left w:w="108" w:type="dxa"/>
          <w:bottom w:w="0" w:type="dxa"/>
          <w:right w:w="108" w:type="dxa"/>
        </w:tblCellMar>
        <w:tblLook w:firstRow="1" w:noVBand="1" w:lastRow="0" w:firstColumn="1" w:lastColumn="0" w:noHBand="0" w:val="04a0"/>
      </w:tblPr>
      <w:tblGrid>
        <w:gridCol w:w="3261"/>
        <w:gridCol w:w="2832"/>
        <w:gridCol w:w="2931"/>
      </w:tblGrid>
      <w:tr>
        <w:trPr>
          <w:trHeight w:val="481" w:hRule="atLeast"/>
        </w:trPr>
        <w:tc>
          <w:tcPr>
            <w:tcW w:w="326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FILE-SHARING SERVICE (Downloading)</w:t>
            </w:r>
          </w:p>
        </w:tc>
        <w:tc>
          <w:tcPr>
            <w:tcW w:w="2832"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SUITABILITY</w:t>
            </w:r>
          </w:p>
        </w:tc>
        <w:tc>
          <w:tcPr>
            <w:tcW w:w="29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Style w:val="Eop"/>
                <w:rFonts w:cs="Arial"/>
                <w:b/>
                <w:sz w:val="20"/>
              </w:rPr>
            </w:pPr>
            <w:r>
              <w:rPr>
                <w:rStyle w:val="Eop"/>
                <w:rFonts w:eastAsia="Times New Roman" w:cs="Arial"/>
                <w:b/>
                <w:kern w:val="0"/>
                <w:sz w:val="20"/>
                <w:szCs w:val="20"/>
                <w:lang w:bidi="ar-SA"/>
              </w:rPr>
              <w:t>ASSOCIATED SECURITY RISKS</w:t>
            </w:r>
          </w:p>
        </w:tc>
      </w:tr>
      <w:tr>
        <w:trPr/>
        <w:tc>
          <w:tcPr>
            <w:tcW w:w="3261"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Style w:val="Eop"/>
                <w:rFonts w:eastAsia="Times New Roman" w:cs="Arial"/>
                <w:kern w:val="0"/>
                <w:szCs w:val="20"/>
                <w:lang w:bidi="ar-SA"/>
              </w:rPr>
              <w:t xml:space="preserve"> </w:t>
            </w:r>
          </w:p>
        </w:tc>
        <w:tc>
          <w:tcPr>
            <w:tcW w:w="2832"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Fonts w:cs="Arial"/>
              </w:rPr>
            </w:r>
          </w:p>
        </w:tc>
        <w:tc>
          <w:tcPr>
            <w:tcW w:w="2931"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Fonts w:cs="Arial"/>
              </w:rPr>
            </w:r>
          </w:p>
        </w:tc>
      </w:tr>
      <w:tr>
        <w:trPr/>
        <w:tc>
          <w:tcPr>
            <w:tcW w:w="3261"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Fonts w:cs="Arial"/>
              </w:rPr>
            </w:r>
          </w:p>
        </w:tc>
        <w:tc>
          <w:tcPr>
            <w:tcW w:w="2832"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Fonts w:cs="Arial"/>
              </w:rPr>
            </w:r>
          </w:p>
        </w:tc>
        <w:tc>
          <w:tcPr>
            <w:tcW w:w="2931"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Fonts w:cs="Arial"/>
              </w:rPr>
            </w:r>
          </w:p>
        </w:tc>
      </w:tr>
      <w:tr>
        <w:trPr/>
        <w:tc>
          <w:tcPr>
            <w:tcW w:w="3261"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Fonts w:cs="Arial"/>
              </w:rPr>
            </w:r>
          </w:p>
        </w:tc>
        <w:tc>
          <w:tcPr>
            <w:tcW w:w="2832"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Fonts w:cs="Arial"/>
              </w:rPr>
            </w:r>
          </w:p>
        </w:tc>
        <w:tc>
          <w:tcPr>
            <w:tcW w:w="2931"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Style w:val="Eop"/>
                <w:rFonts w:cs="Arial"/>
              </w:rPr>
            </w:pPr>
            <w:r>
              <w:rPr>
                <w:rFonts w:cs="Arial"/>
              </w:rPr>
            </w:r>
          </w:p>
        </w:tc>
      </w:tr>
    </w:tbl>
    <w:p>
      <w:pPr>
        <w:pStyle w:val="Normal"/>
        <w:ind w:left="993" w:hanging="993"/>
        <w:rPr>
          <w:rStyle w:val="Eop"/>
          <w:rFonts w:cs="Arial"/>
          <w:color w:val="FF0000"/>
        </w:rPr>
      </w:pPr>
      <w:r>
        <w:rPr>
          <w:rFonts w:cs="Arial"/>
          <w:color w:val="FF0000"/>
        </w:rPr>
      </w:r>
    </w:p>
    <w:p>
      <w:pPr>
        <w:pStyle w:val="Normal"/>
        <w:ind w:left="90" w:hanging="90"/>
        <w:rPr>
          <w:rFonts w:cs="Arial"/>
          <w:szCs w:val="22"/>
          <w:lang w:val="en-AU"/>
        </w:rPr>
      </w:pPr>
      <w:r>
        <w:rPr>
          <w:rFonts w:cs="Arial"/>
          <w:szCs w:val="22"/>
          <w:lang w:val="en-AU"/>
        </w:rPr>
      </w:r>
    </w:p>
    <w:p>
      <w:pPr>
        <w:pStyle w:val="Heading1"/>
        <w:rPr>
          <w:rStyle w:val="Eop"/>
          <w:rFonts w:cs="Arial"/>
          <w:szCs w:val="22"/>
        </w:rPr>
      </w:pPr>
      <w:bookmarkStart w:id="24" w:name="_Toc124768035"/>
      <w:r>
        <w:rPr>
          <w:rStyle w:val="Eop"/>
          <w:rFonts w:cs="Arial"/>
          <w:szCs w:val="22"/>
        </w:rPr>
        <w:t>8</w:t>
        <w:tab/>
        <w:t>Conclusion</w:t>
      </w:r>
      <w:bookmarkEnd w:id="24"/>
    </w:p>
    <w:p>
      <w:pPr>
        <w:pStyle w:val="Normal"/>
        <w:overflowPunct w:val="false"/>
        <w:textAlignment w:val="auto"/>
        <w:rPr>
          <w:color w:val="1F4E79" w:themeColor="accent1" w:themeShade="80"/>
        </w:rPr>
      </w:pPr>
      <w:r>
        <w:rPr>
          <w:color w:val="1F4E79" w:themeColor="accent1" w:themeShade="80"/>
        </w:rPr>
      </w:r>
    </w:p>
    <w:p>
      <w:pPr>
        <w:pStyle w:val="Normal"/>
        <w:overflowPunct w:val="false"/>
        <w:textAlignment w:val="auto"/>
        <w:rPr>
          <w:b/>
          <w:kern w:val="2"/>
          <w:sz w:val="32"/>
        </w:rPr>
      </w:pPr>
      <w:r>
        <w:rPr>
          <w:color w:val="1F4E79" w:themeColor="accent1" w:themeShade="80"/>
        </w:rPr>
        <w:t>Write a conclusion for the report.</w:t>
      </w:r>
      <w:r>
        <w:br w:type="page"/>
      </w:r>
    </w:p>
    <w:p>
      <w:pPr>
        <w:pStyle w:val="Heading1"/>
        <w:rPr/>
      </w:pPr>
      <w:r>
        <w:rPr/>
        <w:t>9 Contingency task</w:t>
      </w:r>
    </w:p>
    <w:p>
      <w:pPr>
        <w:pStyle w:val="Paragraph"/>
        <w:spacing w:lineRule="auto" w:line="360" w:beforeAutospacing="0" w:before="0" w:afterAutospacing="0" w:after="0"/>
        <w:ind w:left="993" w:hanging="993"/>
        <w:jc w:val="left"/>
        <w:textAlignment w:val="baseline"/>
        <w:rPr/>
      </w:pPr>
      <w:r>
        <w:rPr>
          <w:rStyle w:val="Eop"/>
          <w:rFonts w:cs="Arial" w:ascii="Arial" w:hAnsi="Arial"/>
          <w:sz w:val="22"/>
          <w:szCs w:val="22"/>
        </w:rPr>
        <w:tab/>
      </w:r>
    </w:p>
    <w:p>
      <w:pPr>
        <w:pStyle w:val="Paragraph"/>
        <w:spacing w:lineRule="auto" w:line="360" w:beforeAutospacing="0" w:before="0" w:afterAutospacing="0" w:after="0"/>
        <w:ind w:left="993" w:hanging="993"/>
        <w:jc w:val="left"/>
        <w:textAlignment w:val="baseline"/>
        <w:rPr/>
      </w:pPr>
      <w:r>
        <w:rPr>
          <w:rStyle w:val="Eop"/>
          <w:rFonts w:cs="Arial" w:ascii="Arial" w:hAnsi="Arial"/>
          <w:sz w:val="22"/>
          <w:szCs w:val="22"/>
        </w:rPr>
        <w:t xml:space="preserve">Assume that due to staff shortages, two junior cyber security technicians have been </w:t>
      </w:r>
    </w:p>
    <w:p>
      <w:pPr>
        <w:pStyle w:val="Paragraph"/>
        <w:spacing w:lineRule="auto" w:line="360" w:beforeAutospacing="0" w:before="0" w:afterAutospacing="0" w:after="0"/>
        <w:ind w:left="993" w:hanging="993"/>
        <w:jc w:val="left"/>
        <w:textAlignment w:val="baseline"/>
        <w:rPr/>
      </w:pPr>
      <w:r>
        <w:rPr>
          <w:rStyle w:val="Eop"/>
          <w:rFonts w:cs="Arial" w:ascii="Arial" w:hAnsi="Arial"/>
          <w:sz w:val="22"/>
          <w:szCs w:val="22"/>
        </w:rPr>
        <w:t xml:space="preserve">assigned responsibilities above their expertise level. They are happy with the new </w:t>
      </w:r>
    </w:p>
    <w:p>
      <w:pPr>
        <w:pStyle w:val="Paragraph"/>
        <w:spacing w:lineRule="auto" w:line="360" w:beforeAutospacing="0" w:before="0" w:afterAutospacing="0" w:after="0"/>
        <w:ind w:left="993" w:hanging="993"/>
        <w:jc w:val="left"/>
        <w:textAlignment w:val="baseline"/>
        <w:rPr/>
      </w:pPr>
      <w:r>
        <w:rPr>
          <w:rStyle w:val="Eop"/>
          <w:rFonts w:cs="Arial" w:ascii="Arial" w:hAnsi="Arial"/>
          <w:sz w:val="22"/>
          <w:szCs w:val="22"/>
        </w:rPr>
        <w:t>job but concerned about their new responsibilities. Provide at least three (3)</w:t>
      </w:r>
    </w:p>
    <w:p>
      <w:pPr>
        <w:pStyle w:val="Paragraph"/>
        <w:spacing w:lineRule="auto" w:line="360" w:beforeAutospacing="0" w:before="0" w:afterAutospacing="0" w:after="0"/>
        <w:ind w:left="993" w:hanging="993"/>
        <w:jc w:val="left"/>
        <w:textAlignment w:val="baseline"/>
        <w:rPr/>
      </w:pPr>
      <w:r>
        <w:rPr>
          <w:rStyle w:val="Eop"/>
          <w:rFonts w:cs="Arial" w:ascii="Arial" w:hAnsi="Arial"/>
          <w:sz w:val="22"/>
          <w:szCs w:val="22"/>
        </w:rPr>
        <w:t>support measures that could be used to ease their role transition.</w:t>
      </w:r>
    </w:p>
    <w:p>
      <w:pPr>
        <w:pStyle w:val="Heading1"/>
        <w:rPr/>
      </w:pPr>
      <w:r>
        <w:rPr/>
      </w:r>
    </w:p>
    <w:p>
      <w:pPr>
        <w:pStyle w:val="Heading1"/>
        <w:rPr/>
      </w:pPr>
      <w:bookmarkStart w:id="25" w:name="_Toc124768036"/>
      <w:r>
        <w:rPr/>
        <w:t>Appendix</w:t>
      </w:r>
      <w:bookmarkEnd w:id="25"/>
    </w:p>
    <w:p>
      <w:pPr>
        <w:pStyle w:val="Heading2"/>
        <w:rPr>
          <w:rStyle w:val="Eop"/>
        </w:rPr>
      </w:pPr>
      <w:bookmarkStart w:id="26" w:name="_Toc124768037"/>
      <w:r>
        <w:rPr>
          <w:rStyle w:val="Eop"/>
        </w:rPr>
        <w:t>Organisation p</w:t>
      </w:r>
      <w:bookmarkStart w:id="27" w:name="_GoBack"/>
      <w:bookmarkEnd w:id="27"/>
      <w:r>
        <w:rPr>
          <w:rStyle w:val="Eop"/>
        </w:rPr>
        <w:t>olicies, procedures and best practices documentation</w:t>
      </w:r>
      <w:bookmarkEnd w:id="26"/>
    </w:p>
    <w:p>
      <w:pPr>
        <w:pStyle w:val="Normal"/>
        <w:rPr>
          <w:color w:val="1F4E79" w:themeColor="accent1" w:themeShade="80"/>
        </w:rPr>
      </w:pPr>
      <w:r>
        <w:rPr>
          <w:color w:val="1F4E79" w:themeColor="accent1" w:themeShade="80"/>
        </w:rPr>
        <w:t>In this section, you should include all the organisation’s documentation provided to the MidTown IT Analyst/Consultant before the review and report completion.</w:t>
      </w:r>
    </w:p>
    <w:p>
      <w:pPr>
        <w:pStyle w:val="Normal"/>
        <w:rPr>
          <w:color w:val="1F4E79" w:themeColor="accent1" w:themeShade="80"/>
        </w:rPr>
      </w:pPr>
      <w:r>
        <w:rPr>
          <w:color w:val="1F4E79" w:themeColor="accent1" w:themeShade="80"/>
        </w:rPr>
      </w:r>
    </w:p>
    <w:p>
      <w:pPr>
        <w:pStyle w:val="Normal"/>
        <w:rPr>
          <w:color w:val="1F4E79" w:themeColor="accent1" w:themeShade="80"/>
        </w:rPr>
      </w:pPr>
      <w:r>
        <w:rPr>
          <w:color w:val="1F4E79" w:themeColor="accent1" w:themeShade="80"/>
        </w:rPr>
        <w:t>If the documentation exists, it may include:</w:t>
      </w:r>
    </w:p>
    <w:p>
      <w:pPr>
        <w:pStyle w:val="ListParagraph"/>
        <w:numPr>
          <w:ilvl w:val="0"/>
          <w:numId w:val="1"/>
        </w:numPr>
        <w:rPr>
          <w:color w:val="1F4E79" w:themeColor="accent1" w:themeShade="80"/>
        </w:rPr>
      </w:pPr>
      <w:r>
        <w:rPr>
          <w:color w:val="1F4E79" w:themeColor="accent1" w:themeShade="80"/>
        </w:rPr>
        <w:t>Cyber Security Policy</w:t>
      </w:r>
    </w:p>
    <w:p>
      <w:pPr>
        <w:pStyle w:val="ListParagraph"/>
        <w:numPr>
          <w:ilvl w:val="0"/>
          <w:numId w:val="1"/>
        </w:numPr>
        <w:rPr>
          <w:color w:val="1F4E79" w:themeColor="accent1" w:themeShade="80"/>
        </w:rPr>
      </w:pPr>
      <w:r>
        <w:rPr>
          <w:color w:val="1F4E79" w:themeColor="accent1" w:themeShade="80"/>
        </w:rPr>
        <w:t>Cyber Security Best practices</w:t>
      </w:r>
    </w:p>
    <w:p>
      <w:pPr>
        <w:pStyle w:val="ListParagraph"/>
        <w:numPr>
          <w:ilvl w:val="0"/>
          <w:numId w:val="1"/>
        </w:numPr>
        <w:rPr>
          <w:color w:val="1F4E79" w:themeColor="accent1" w:themeShade="80"/>
        </w:rPr>
      </w:pPr>
      <w:r>
        <w:rPr>
          <w:color w:val="1F4E79" w:themeColor="accent1" w:themeShade="80"/>
        </w:rPr>
        <w:t>Privacy Policy</w:t>
      </w:r>
    </w:p>
    <w:p>
      <w:pPr>
        <w:pStyle w:val="ListParagraph"/>
        <w:numPr>
          <w:ilvl w:val="0"/>
          <w:numId w:val="1"/>
        </w:numPr>
        <w:rPr>
          <w:color w:val="1F4E79" w:themeColor="accent1" w:themeShade="80"/>
        </w:rPr>
      </w:pPr>
      <w:r>
        <w:rPr>
          <w:color w:val="1F4E79" w:themeColor="accent1" w:themeShade="80"/>
        </w:rPr>
        <w:t>Privacy Best practices</w:t>
      </w:r>
    </w:p>
    <w:p>
      <w:pPr>
        <w:pStyle w:val="ListParagraph"/>
        <w:numPr>
          <w:ilvl w:val="0"/>
          <w:numId w:val="1"/>
        </w:numPr>
        <w:rPr>
          <w:color w:val="1F4E79" w:themeColor="accent1" w:themeShade="80"/>
        </w:rPr>
      </w:pPr>
      <w:r>
        <w:rPr>
          <w:color w:val="1F4E79" w:themeColor="accent1" w:themeShade="80"/>
        </w:rPr>
        <w:t xml:space="preserve">Ethics policies and/or policies and procedures </w:t>
      </w:r>
    </w:p>
    <w:p>
      <w:pPr>
        <w:pStyle w:val="Normal"/>
        <w:tabs>
          <w:tab w:val="clear" w:pos="720"/>
          <w:tab w:val="left" w:pos="1134" w:leader="none"/>
          <w:tab w:val="left" w:pos="9072" w:leader="none"/>
        </w:tabs>
        <w:suppressAutoHyphens w:val="true"/>
        <w:overflowPunct w:val="false"/>
        <w:spacing w:before="0" w:after="60"/>
        <w:ind w:left="1134" w:hanging="0"/>
        <w:textAlignment w:val="auto"/>
        <w:rPr>
          <w:rFonts w:ascii="Tahoma" w:hAnsi="Tahoma" w:cs="Tahoma"/>
          <w:i/>
          <w:i/>
          <w:color w:val="000099"/>
          <w:sz w:val="18"/>
          <w:szCs w:val="18"/>
          <w:lang w:eastAsia="en-AU"/>
        </w:rPr>
      </w:pPr>
      <w:r>
        <w:rPr>
          <w:rFonts w:cs="Tahoma" w:ascii="Tahoma" w:hAnsi="Tahoma"/>
          <w:i/>
          <w:color w:val="000099"/>
          <w:sz w:val="18"/>
          <w:szCs w:val="18"/>
          <w:lang w:eastAsia="en-AU"/>
        </w:rPr>
      </w:r>
    </w:p>
    <w:p>
      <w:pPr>
        <w:pStyle w:val="Normal"/>
        <w:tabs>
          <w:tab w:val="clear" w:pos="720"/>
          <w:tab w:val="left" w:pos="1134" w:leader="none"/>
          <w:tab w:val="left" w:pos="9072" w:leader="none"/>
        </w:tabs>
        <w:suppressAutoHyphens w:val="true"/>
        <w:overflowPunct w:val="false"/>
        <w:spacing w:before="0" w:after="60"/>
        <w:ind w:left="1134" w:hanging="0"/>
        <w:textAlignment w:val="auto"/>
        <w:rPr>
          <w:rFonts w:ascii="Tahoma" w:hAnsi="Tahoma" w:cs="Tahoma"/>
          <w:i/>
          <w:i/>
          <w:color w:val="000099"/>
          <w:sz w:val="18"/>
          <w:szCs w:val="18"/>
          <w:lang w:eastAsia="en-AU"/>
        </w:rPr>
      </w:pPr>
      <w:r>
        <w:rPr>
          <w:rFonts w:cs="Tahoma" w:ascii="Tahoma" w:hAnsi="Tahoma"/>
          <w:i/>
          <w:color w:val="000099"/>
          <w:sz w:val="18"/>
          <w:szCs w:val="18"/>
          <w:lang w:eastAsia="en-AU"/>
        </w:rPr>
      </w:r>
    </w:p>
    <w:p>
      <w:pPr>
        <w:pStyle w:val="Normal"/>
        <w:spacing w:lineRule="auto" w:line="300" w:before="120" w:after="0"/>
        <w:rPr>
          <w:rStyle w:val="Eop"/>
          <w:color w:val="1F4E79" w:themeColor="accent1" w:themeShade="80"/>
        </w:rPr>
      </w:pPr>
      <w:r>
        <w:rPr>
          <w:rStyle w:val="Eop"/>
          <w:color w:val="1F4E79" w:themeColor="accent1" w:themeShade="80"/>
        </w:rPr>
        <w:t>Other appendices can be created as necessary</w:t>
      </w:r>
    </w:p>
    <w:p>
      <w:pPr>
        <w:pStyle w:val="Normal"/>
        <w:tabs>
          <w:tab w:val="clear" w:pos="720"/>
          <w:tab w:val="left" w:pos="1134" w:leader="none"/>
          <w:tab w:val="left" w:pos="9072" w:leader="none"/>
        </w:tabs>
        <w:suppressAutoHyphens w:val="true"/>
        <w:overflowPunct w:val="false"/>
        <w:spacing w:before="0" w:after="60"/>
        <w:ind w:left="1134" w:hanging="0"/>
        <w:textAlignment w:val="auto"/>
        <w:rPr>
          <w:rFonts w:ascii="Tahoma" w:hAnsi="Tahoma" w:cs="Tahoma"/>
          <w:i/>
          <w:i/>
          <w:color w:val="000099"/>
          <w:sz w:val="18"/>
          <w:szCs w:val="18"/>
          <w:lang w:eastAsia="en-AU"/>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Palatino">
    <w:charset w:val="00"/>
    <w:family w:val="roman"/>
    <w:pitch w:val="variable"/>
  </w:font>
  <w:font w:name="Calibri">
    <w:charset w:val="00"/>
    <w:family w:val="roman"/>
    <w:pitch w:val="variable"/>
  </w:font>
  <w:font w:name="sans-serif">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cs="Arial"/>
        <w:sz w:val="18"/>
        <w:szCs w:val="18"/>
      </w:rPr>
    </w:pPr>
    <w:r>
      <w:rPr>
        <w:rFonts w:cs="Arial"/>
        <w:color w:val="44546A" w:themeColor="text2"/>
        <w:sz w:val="18"/>
        <w:szCs w:val="18"/>
      </w:rPr>
      <w:t>MidTown IT Cyber Legislation and Policies Report Template.doc</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cs="Arial"/>
        <w:sz w:val="18"/>
        <w:szCs w:val="18"/>
      </w:rPr>
    </w:pPr>
    <w:r>
      <w:rPr>
        <w:rFonts w:cs="Arial"/>
        <w:color w:val="44546A" w:themeColor="text2"/>
        <w:sz w:val="18"/>
        <w:szCs w:val="18"/>
      </w:rPr>
      <w:t>MidTown IT Cyber Legislation and Policies Report Template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lsdException w:name="toc 3" w:uiPriority="39"/>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01d61"/>
    <w:pPr>
      <w:widowControl/>
      <w:suppressAutoHyphens w:val="true"/>
      <w:overflowPunct w:val="true"/>
      <w:bidi w:val="0"/>
      <w:spacing w:before="0" w:after="0"/>
      <w:jc w:val="left"/>
      <w:textAlignment w:val="baseline"/>
    </w:pPr>
    <w:rPr>
      <w:rFonts w:ascii="Arial" w:hAnsi="Arial" w:eastAsia="Times New Roman" w:cs="Times New Roman"/>
      <w:color w:val="auto"/>
      <w:kern w:val="0"/>
      <w:sz w:val="22"/>
      <w:szCs w:val="20"/>
      <w:lang w:val="en-GB" w:eastAsia="en-US" w:bidi="ar-SA"/>
    </w:rPr>
  </w:style>
  <w:style w:type="paragraph" w:styleId="Heading1">
    <w:name w:val="Heading 1"/>
    <w:basedOn w:val="Normal"/>
    <w:next w:val="Normal"/>
    <w:qFormat/>
    <w:rsid w:val="00f71a95"/>
    <w:pPr>
      <w:keepNext w:val="true"/>
      <w:pBdr>
        <w:bottom w:val="single" w:sz="6" w:space="1" w:color="000000"/>
      </w:pBdr>
      <w:spacing w:before="240" w:after="60"/>
      <w:outlineLvl w:val="0"/>
    </w:pPr>
    <w:rPr>
      <w:b/>
      <w:kern w:val="2"/>
      <w:sz w:val="32"/>
    </w:rPr>
  </w:style>
  <w:style w:type="paragraph" w:styleId="Heading2">
    <w:name w:val="Heading 2"/>
    <w:basedOn w:val="Normal"/>
    <w:next w:val="Normal"/>
    <w:autoRedefine/>
    <w:qFormat/>
    <w:rsid w:val="001b6bd1"/>
    <w:pPr>
      <w:keepNext w:val="true"/>
      <w:tabs>
        <w:tab w:val="clear" w:pos="720"/>
        <w:tab w:val="left" w:pos="851" w:leader="none"/>
      </w:tabs>
      <w:spacing w:before="240" w:after="60"/>
      <w:outlineLvl w:val="1"/>
    </w:pPr>
    <w:rPr>
      <w:rFonts w:cs="Arial"/>
      <w:b/>
      <w:sz w:val="24"/>
      <w:szCs w:val="22"/>
    </w:rPr>
  </w:style>
  <w:style w:type="paragraph" w:styleId="Heading3">
    <w:name w:val="Heading 3"/>
    <w:basedOn w:val="Normal"/>
    <w:next w:val="Normal"/>
    <w:autoRedefine/>
    <w:qFormat/>
    <w:rsid w:val="003a12a2"/>
    <w:pPr>
      <w:keepNext w:val="true"/>
      <w:spacing w:before="240" w:after="60"/>
      <w:outlineLvl w:val="2"/>
    </w:pPr>
    <w:rPr>
      <w:rFonts w:ascii="Tahoma" w:hAnsi="Tahoma" w:cs="Arial"/>
      <w:b/>
      <w:i/>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InternetLink">
    <w:name w:val="Hyperlink"/>
    <w:uiPriority w:val="99"/>
    <w:rPr>
      <w:color w:val="0000FF"/>
      <w:u w:val="single"/>
    </w:rPr>
  </w:style>
  <w:style w:type="character" w:styleId="HeaderChar" w:customStyle="1">
    <w:name w:val="Header Char"/>
    <w:link w:val="Header"/>
    <w:qFormat/>
    <w:rPr>
      <w:sz w:val="24"/>
      <w:lang w:val="en-GB" w:eastAsia="en-US"/>
    </w:rPr>
  </w:style>
  <w:style w:type="character" w:styleId="FooterChar" w:customStyle="1">
    <w:name w:val="Footer Char"/>
    <w:link w:val="Footer"/>
    <w:uiPriority w:val="99"/>
    <w:qFormat/>
    <w:rPr>
      <w:sz w:val="16"/>
      <w:lang w:val="en-GB" w:eastAsia="en-US"/>
    </w:rPr>
  </w:style>
  <w:style w:type="character" w:styleId="CharChar" w:customStyle="1">
    <w:name w:val="Char Char"/>
    <w:semiHidden/>
    <w:qFormat/>
    <w:rPr>
      <w:rFonts w:ascii="Tahoma" w:hAnsi="Tahoma" w:cs="Tahoma"/>
      <w:sz w:val="16"/>
      <w:szCs w:val="16"/>
      <w:lang w:val="en-GB" w:eastAsia="en-US"/>
    </w:rPr>
  </w:style>
  <w:style w:type="character" w:styleId="TipsChar" w:customStyle="1">
    <w:name w:val="tips Char"/>
    <w:link w:val="Tips"/>
    <w:qFormat/>
    <w:rsid w:val="00146338"/>
    <w:rPr>
      <w:rFonts w:ascii="Arial" w:hAnsi="Arial" w:eastAsia="Calibri" w:cs="Arial"/>
      <w:color w:val="8DB3E2"/>
      <w:sz w:val="24"/>
      <w:lang w:eastAsia="en-US"/>
    </w:rPr>
  </w:style>
  <w:style w:type="character" w:styleId="PlaceholderText">
    <w:name w:val="Placeholder Text"/>
    <w:basedOn w:val="DefaultParagraphFont"/>
    <w:uiPriority w:val="99"/>
    <w:unhideWhenUsed/>
    <w:qFormat/>
    <w:rsid w:val="00760308"/>
    <w:rPr>
      <w:color w:val="808080"/>
    </w:rPr>
  </w:style>
  <w:style w:type="character" w:styleId="Eop" w:customStyle="1">
    <w:name w:val="eop"/>
    <w:basedOn w:val="DefaultParagraphFont"/>
    <w:qFormat/>
    <w:rsid w:val="004372fc"/>
    <w:rPr/>
  </w:style>
  <w:style w:type="character" w:styleId="ListParagraphChar" w:customStyle="1">
    <w:name w:val="List Paragraph Char"/>
    <w:link w:val="ListParagraph"/>
    <w:uiPriority w:val="34"/>
    <w:qFormat/>
    <w:rsid w:val="004372fc"/>
    <w:rPr>
      <w:rFonts w:ascii="Arial" w:hAnsi="Arial" w:eastAsia="SimSun" w:cs="Mangal"/>
      <w:kern w:val="2"/>
      <w:sz w:val="24"/>
      <w:szCs w:val="21"/>
      <w:lang w:eastAsia="hi-IN" w:bidi="hi-IN"/>
    </w:rPr>
  </w:style>
  <w:style w:type="character" w:styleId="Emphasis">
    <w:name w:val="Emphasis"/>
    <w:basedOn w:val="DefaultParagraphFont"/>
    <w:uiPriority w:val="20"/>
    <w:qFormat/>
    <w:rsid w:val="002355f0"/>
    <w:rPr>
      <w:i/>
      <w:iCs/>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unhideWhenUsed/>
    <w:qFormat/>
    <w:pPr/>
    <w:rPr>
      <w:rFonts w:ascii="Tahoma" w:hAnsi="Tahoma" w:cs="Tahoma"/>
      <w:sz w:val="16"/>
      <w:szCs w:val="16"/>
    </w:rPr>
  </w:style>
  <w:style w:type="paragraph" w:styleId="Contents2">
    <w:name w:val="TOC 2"/>
    <w:basedOn w:val="Normal"/>
    <w:next w:val="Normal"/>
    <w:autoRedefine/>
    <w:uiPriority w:val="39"/>
    <w:rsid w:val="00e81220"/>
    <w:pPr>
      <w:tabs>
        <w:tab w:val="clear" w:pos="720"/>
        <w:tab w:val="right" w:pos="8313" w:leader="dot"/>
      </w:tabs>
      <w:ind w:left="240" w:hanging="0"/>
    </w:pPr>
    <w:rPr>
      <w:lang w:val="en-AU" w:eastAsia="en-AU"/>
    </w:rPr>
  </w:style>
  <w:style w:type="paragraph" w:styleId="Contents1">
    <w:name w:val="TOC 1"/>
    <w:basedOn w:val="Normal"/>
    <w:next w:val="Normal"/>
    <w:autoRedefine/>
    <w:uiPriority w:val="39"/>
    <w:rsid w:val="00e81220"/>
    <w:pPr>
      <w:tabs>
        <w:tab w:val="clear" w:pos="720"/>
        <w:tab w:val="right" w:pos="8313" w:leader="dot"/>
      </w:tabs>
    </w:pPr>
    <w:rPr>
      <w:sz w:val="24"/>
      <w:lang w:val="en-AU" w:eastAsia="en-AU"/>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153" w:leader="none"/>
        <w:tab w:val="right" w:pos="8306" w:leader="none"/>
      </w:tabs>
    </w:pPr>
    <w:rPr/>
  </w:style>
  <w:style w:type="paragraph" w:styleId="Footer">
    <w:name w:val="Footer"/>
    <w:basedOn w:val="Normal"/>
    <w:link w:val="FooterChar"/>
    <w:uiPriority w:val="99"/>
    <w:pPr>
      <w:tabs>
        <w:tab w:val="clear" w:pos="720"/>
        <w:tab w:val="center" w:pos="4153" w:leader="none"/>
        <w:tab w:val="right" w:pos="8306" w:leader="none"/>
      </w:tabs>
    </w:pPr>
    <w:rPr>
      <w:sz w:val="16"/>
    </w:rPr>
  </w:style>
  <w:style w:type="paragraph" w:styleId="Contents3">
    <w:name w:val="TOC 3"/>
    <w:basedOn w:val="Normal"/>
    <w:next w:val="Normal"/>
    <w:uiPriority w:val="39"/>
    <w:pPr>
      <w:tabs>
        <w:tab w:val="clear" w:pos="720"/>
        <w:tab w:val="right" w:pos="8313" w:leader="dot"/>
      </w:tabs>
      <w:ind w:left="480" w:hanging="0"/>
    </w:pPr>
    <w:rPr>
      <w:i/>
      <w:sz w:val="20"/>
      <w:lang w:val="en-AU" w:eastAsia="en-AU"/>
    </w:rPr>
  </w:style>
  <w:style w:type="paragraph" w:styleId="IndexHeading">
    <w:name w:val="Index Heading"/>
    <w:basedOn w:val="Heading"/>
    <w:pPr/>
    <w:rPr/>
  </w:style>
  <w:style w:type="paragraph" w:styleId="ContentsHeading">
    <w:name w:val="TOC Heading"/>
    <w:basedOn w:val="Heading1"/>
    <w:next w:val="Normal"/>
    <w:autoRedefine/>
    <w:uiPriority w:val="39"/>
    <w:qFormat/>
    <w:rsid w:val="00e81220"/>
    <w:pPr>
      <w:keepLines/>
      <w:pBdr>
        <w:bottom w:val="nil"/>
      </w:pBdr>
      <w:overflowPunct w:val="false"/>
      <w:spacing w:lineRule="auto" w:line="276" w:before="0" w:after="0"/>
      <w:textAlignment w:val="auto"/>
      <w:outlineLvl w:val="9"/>
    </w:pPr>
    <w:rPr>
      <w:rFonts w:eastAsia="MS Gothic"/>
      <w:b w:val="false"/>
      <w:bCs/>
      <w:kern w:val="0"/>
      <w:sz w:val="22"/>
      <w:szCs w:val="28"/>
      <w:lang w:val="en-US" w:eastAsia="ja-JP"/>
    </w:rPr>
  </w:style>
  <w:style w:type="paragraph" w:styleId="ListParagraph">
    <w:name w:val="List Paragraph"/>
    <w:basedOn w:val="Normal"/>
    <w:link w:val="ListParagraphChar"/>
    <w:uiPriority w:val="34"/>
    <w:qFormat/>
    <w:pPr>
      <w:widowControl w:val="false"/>
      <w:suppressAutoHyphens w:val="true"/>
      <w:overflowPunct w:val="false"/>
      <w:spacing w:before="0" w:after="0"/>
      <w:ind w:left="720" w:hanging="0"/>
      <w:contextualSpacing/>
      <w:textAlignment w:val="auto"/>
    </w:pPr>
    <w:rPr>
      <w:rFonts w:eastAsia="SimSun" w:cs="Mangal"/>
      <w:kern w:val="2"/>
      <w:szCs w:val="21"/>
      <w:lang w:val="en-AU" w:eastAsia="hi-IN" w:bidi="hi-IN"/>
    </w:rPr>
  </w:style>
  <w:style w:type="paragraph" w:styleId="MajorTableText" w:customStyle="1">
    <w:name w:val="Major Table Text"/>
    <w:basedOn w:val="Normal"/>
    <w:qFormat/>
    <w:pPr>
      <w:overflowPunct w:val="false"/>
      <w:spacing w:before="60" w:after="60"/>
      <w:textAlignment w:val="auto"/>
    </w:pPr>
    <w:rPr>
      <w:rFonts w:ascii="Palatino" w:hAnsi="Palatino"/>
      <w:sz w:val="18"/>
      <w:lang w:val="en-AU"/>
    </w:rPr>
  </w:style>
  <w:style w:type="paragraph" w:styleId="Tips" w:customStyle="1">
    <w:name w:val="tips"/>
    <w:basedOn w:val="ListParagraph"/>
    <w:link w:val="TipsChar"/>
    <w:qFormat/>
    <w:rsid w:val="00146338"/>
    <w:pPr>
      <w:widowControl/>
      <w:suppressAutoHyphens w:val="false"/>
      <w:spacing w:lineRule="auto" w:line="360" w:before="0" w:after="0"/>
      <w:ind w:left="0" w:hanging="0"/>
      <w:contextualSpacing w:val="false"/>
    </w:pPr>
    <w:rPr>
      <w:rFonts w:eastAsia="Calibri" w:cs="Arial"/>
      <w:color w:val="8DB3E2"/>
      <w:kern w:val="0"/>
      <w:szCs w:val="20"/>
      <w:lang w:eastAsia="en-US" w:bidi="ar-SA"/>
    </w:rPr>
  </w:style>
  <w:style w:type="paragraph" w:styleId="TableText" w:customStyle="1">
    <w:name w:val="Table Text"/>
    <w:basedOn w:val="Normal"/>
    <w:uiPriority w:val="4"/>
    <w:qFormat/>
    <w:rsid w:val="00e25360"/>
    <w:pPr>
      <w:widowControl w:val="false"/>
      <w:suppressAutoHyphens w:val="true"/>
      <w:overflowPunct w:val="false"/>
      <w:spacing w:lineRule="auto" w:line="300" w:before="80" w:after="80"/>
      <w:textAlignment w:val="auto"/>
    </w:pPr>
    <w:rPr>
      <w:rFonts w:eastAsia="SimSun" w:cs="Arial"/>
      <w:kern w:val="2"/>
      <w:lang w:val="en-AU" w:eastAsia="hi-IN" w:bidi="hi-IN"/>
    </w:rPr>
  </w:style>
  <w:style w:type="paragraph" w:styleId="Paragraph" w:customStyle="1">
    <w:name w:val="paragraph"/>
    <w:basedOn w:val="Normal"/>
    <w:qFormat/>
    <w:rsid w:val="00047ec9"/>
    <w:pPr>
      <w:overflowPunct w:val="false"/>
      <w:spacing w:beforeAutospacing="1" w:afterAutospacing="1"/>
      <w:textAlignment w:val="auto"/>
    </w:pPr>
    <w:rPr>
      <w:rFonts w:ascii="Times New Roman" w:hAnsi="Times New Roman"/>
      <w:sz w:val="24"/>
      <w:szCs w:val="24"/>
      <w:lang w:val="en-AU" w:eastAsia="en-A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859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6e6ff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2caae3d-4ebd-4b1e-bbee-9120e1400e92">
      <Terms xmlns="http://schemas.microsoft.com/office/infopath/2007/PartnerControls"/>
    </lcf76f155ced4ddcb4097134ff3c332f>
    <TaxCatchAll xmlns="688aeeea-db70-49fc-acfa-1a2dd513aa3d" xsi:nil="true"/>
    <_Flow_SignoffStatus xmlns="c2caae3d-4ebd-4b1e-bbee-9120e1400e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6" ma:contentTypeDescription="Create a new document." ma:contentTypeScope="" ma:versionID="60ddbf60ef6150b9c75921a28cff8cee">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e4121823c9b6bb488d3b28c875d39891"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90E3F-4F57-44D6-AD78-CF24675FB8CB}"/>
</file>

<file path=customXml/itemProps2.xml><?xml version="1.0" encoding="utf-8"?>
<ds:datastoreItem xmlns:ds="http://schemas.openxmlformats.org/officeDocument/2006/customXml" ds:itemID="{21837F0F-B8DB-488E-9FB6-C09B6941789A}"/>
</file>

<file path=customXml/itemProps3.xml><?xml version="1.0" encoding="utf-8"?>
<ds:datastoreItem xmlns:ds="http://schemas.openxmlformats.org/officeDocument/2006/customXml" ds:itemID="{E5307637-3E91-4DEE-97FB-3DDDF1C92330}"/>
</file>

<file path=customXml/itemProps4.xml><?xml version="1.0" encoding="utf-8"?>
<ds:datastoreItem xmlns:ds="http://schemas.openxmlformats.org/officeDocument/2006/customXml" ds:itemID="{357D749F-11F6-4586-B835-7BFBCA6B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Application>LibreOffice/7.5.0.3$Windows_X86_64 LibreOffice_project/c21113d003cd3efa8c53188764377a8272d9d6de</Application>
  <AppVersion>15.0000</AppVersion>
  <Pages>15</Pages>
  <Words>2827</Words>
  <Characters>15613</Characters>
  <CharactersWithSpaces>18233</CharactersWithSpaces>
  <Paragraphs>244</Paragraphs>
  <Company>MAJOR Software &amp; Text Publ.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2023-01-16T03:06:00Z</dcterms:created>
  <dc:creator>Mark O'Reilly</dc:creator>
  <dc:description/>
  <dc:language>en-AU</dc:language>
  <cp:lastModifiedBy/>
  <cp:lastPrinted>2001-06-21T10:51:00Z</cp:lastPrinted>
  <dcterms:modified xsi:type="dcterms:W3CDTF">2023-03-12T19:41:00Z</dcterms:modified>
  <cp:revision>12</cp:revision>
  <dc:subject/>
  <dc:title>A Sample Java[TM] Applet -kkkk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0x01010038054A325772F54BB051F3DDAEE07BC3</vt:lpwstr>
  </property>
  <property fmtid="{D5CDD505-2E9C-101B-9397-08002B2CF9AE}" pid="3" name="GrammarlyDocumentId">
    <vt:lpwstr>6f76a8ac1e747c126d4524cf5deb9715733ae2adbdf8552fa74084624b018c89</vt:lpwstr>
  </property>
  <property fmtid="{D5CDD505-2E9C-101B-9397-08002B2CF9AE}" pid="4" name="KSOProductBuildVer">
    <vt:lpwstr>1033-10.2.0.7516</vt:lpwstr>
  </property>
</Properties>
</file>