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36"/>
        </w:rPr>
        <w:t>Workflow spec — Consorzio Aurora</w:t>
      </w:r>
    </w:p>
    <w:p>
      <w:pPr>
        <w:jc w:val="center"/>
      </w:pPr>
      <w:r>
        <w:rPr>
          <w:i/>
          <w:color w:val="777777"/>
          <w:sz w:val="18"/>
        </w:rPr>
        <w:t>Caso d'aula WS-024 · compilato · dati interamente sintetici</w:t>
      </w:r>
    </w:p>
    <w:tbl>
      <w:tblPr>
        <w:tblStyle w:val="TableGrid"/>
        <w:tblW w:type="auto" w:w="0"/>
        <w:jc w:val="left"/>
        <w:tblLook w:firstColumn="1" w:firstRow="1" w:lastColumn="0" w:lastRow="0" w:noHBand="0" w:noVBand="1" w:val="04A0"/>
      </w:tblPr>
      <w:tblGrid>
        <w:gridCol w:w="4703"/>
        <w:gridCol w:w="4703"/>
      </w:tblGrid>
      <w:tr>
        <w:tc>
          <w:tcPr>
            <w:tcW w:type="dxa" w:w="2551"/>
            <w:shd w:val="clear" w:color="auto" w:fill="1A1A2E"/>
          </w:tcPr>
          <w:p>
            <w:r>
              <w:rPr>
                <w:b/>
                <w:color w:val="FFFFFF"/>
                <w:sz w:val="16"/>
              </w:rPr>
              <w:t>Campo</w:t>
            </w:r>
          </w:p>
        </w:tc>
        <w:tc>
          <w:tcPr>
            <w:tcW w:type="dxa" w:w="6520"/>
            <w:shd w:val="clear" w:color="auto" w:fill="1A1A2E"/>
          </w:tcPr>
          <w:p>
            <w:r>
              <w:rPr>
                <w:b/>
                <w:color w:val="FFFFFF"/>
                <w:sz w:val="16"/>
              </w:rPr>
              <w:t>Valore</w:t>
            </w:r>
          </w:p>
        </w:tc>
      </w:tr>
      <w:tr>
        <w:tc>
          <w:tcPr>
            <w:tcW w:type="dxa" w:w="2551"/>
          </w:tcPr>
          <w:p>
            <w:r>
              <w:rPr>
                <w:sz w:val="18"/>
              </w:rPr>
              <w:t>Caso (organizzazione e processo)</w:t>
            </w:r>
          </w:p>
        </w:tc>
        <w:tc>
          <w:tcPr>
            <w:tcW w:type="dxa" w:w="6520"/>
          </w:tcPr>
          <w:sdt>
            <w:sdtPr>
              <w:alias w:val="Caso"/>
              <w:tag w:val="lab_record.identity.case"/>
            </w:sdtPr>
            <w:sdtContent>
              <w:p>
                <w:r>
                  <w:rPr>
                    <w:sz w:val="18"/>
                  </w:rPr>
                  <w:t>Consorzio Aurora (sintetico) · attivazione dei workshop intersede richiesti per email alla Segreteria Formazione; caso guida WS-024</w:t>
                </w:r>
              </w:p>
            </w:sdtContent>
          </w:sdt>
        </w:tc>
      </w:tr>
    </w:tbl>
    <w:p>
      <w:pPr>
        <w:spacing w:before="40" w:after="80"/>
      </w:pPr>
      <w:r>
        <w:rPr>
          <w:i/>
          <w:color w:val="666666"/>
          <w:sz w:val="16"/>
        </w:rPr>
        <w:t>ISTRUZIONI: compila le sezioni nell'ordine. Ogni sezione ha una guida in corsivo. I campi segnati [non congelato] servono a progettare ma nessun controllo li richiede; i campi [facoltativo] si possono lasciare vuoti.</w:t>
      </w:r>
    </w:p>
    <w:p>
      <w:pPr>
        <w:spacing w:before="40" w:after="80"/>
      </w:pPr>
      <w:r>
        <w:rPr>
          <w:i/>
          <w:color w:val="666666"/>
          <w:sz w:val="16"/>
        </w:rPr>
        <w:t>Se usi il kit del laboratorio: freeze-spec congela le sezioni 1-7 e ne calcola l'hash; dopo il freeze una scelta di progetto si cambia solo con un nuovo freeze motivato. Restano modificabili i campi [non congelato] e la sezione 8 (diario).</w:t>
      </w:r>
    </w:p>
    <w:p>
      <w:r>
        <w:rPr>
          <w:b/>
          <w:color w:val="2B4590"/>
          <w:sz w:val="16"/>
        </w:rPr>
        <w:t>Esempio svolto sul caso d'aula Aurora, scritto sullo stesso template che compilerai sul caso Meridiano. Serve a confrontare metodo e livello di dettaglio sezione per sezione, non a copiare le scelte: dati, autorità e parametri dei due casi sono diversi. Tutti i dati sono sintetici.</w:t>
      </w:r>
    </w:p>
    <w:p>
      <w:pPr>
        <w:spacing w:before="280" w:after="80"/>
        <w:pBdr>
          <w:bottom w:val="single" w:sz="6" w:space="1" w:color="1A1A2E"/>
        </w:pBdr>
      </w:pPr>
      <w:r>
        <w:rPr>
          <w:b/>
          <w:color w:val="1A1A2E"/>
          <w:sz w:val="26"/>
        </w:rPr>
        <w:t>1. CASE CARD</w:t>
      </w:r>
    </w:p>
    <w:p>
      <w:pPr>
        <w:spacing w:before="40" w:after="80"/>
      </w:pPr>
      <w:r>
        <w:rPr>
          <w:i/>
          <w:color w:val="666666"/>
          <w:sz w:val="16"/>
        </w:rPr>
        <w:t>Chi chiede, che cosa deve cambiare e dove finisce il lavoro del workflow. Tieni distinti i fatti dalle assunzioni ancora da verificare.</w:t>
      </w:r>
    </w:p>
    <w:p>
      <w:pPr>
        <w:spacing w:before="160" w:after="40"/>
      </w:pPr>
      <w:r>
        <w:rPr>
          <w:b/>
          <w:color w:val="2B4590"/>
          <w:sz w:val="20"/>
        </w:rPr>
        <w:t>Identità</w:t>
      </w:r>
    </w:p>
    <w:tbl>
      <w:tblPr>
        <w:tblStyle w:val="TableGrid"/>
        <w:tblW w:type="auto" w:w="0"/>
        <w:jc w:val="left"/>
        <w:tblLook w:firstColumn="1" w:firstRow="1" w:lastColumn="0" w:lastRow="0" w:noHBand="0" w:noVBand="1" w:val="04A0"/>
      </w:tblPr>
      <w:tblGrid>
        <w:gridCol w:w="4703"/>
        <w:gridCol w:w="4703"/>
      </w:tblGrid>
      <w:tr>
        <w:tc>
          <w:tcPr>
            <w:tcW w:type="dxa" w:w="2551"/>
            <w:shd w:val="clear" w:color="auto" w:fill="1A1A2E"/>
          </w:tcPr>
          <w:p>
            <w:r>
              <w:rPr>
                <w:b/>
                <w:color w:val="FFFFFF"/>
                <w:sz w:val="16"/>
              </w:rPr>
              <w:t>Campo</w:t>
            </w:r>
          </w:p>
        </w:tc>
        <w:tc>
          <w:tcPr>
            <w:tcW w:type="dxa" w:w="6520"/>
            <w:shd w:val="clear" w:color="auto" w:fill="1A1A2E"/>
          </w:tcPr>
          <w:p>
            <w:r>
              <w:rPr>
                <w:b/>
                <w:color w:val="FFFFFF"/>
                <w:sz w:val="16"/>
              </w:rPr>
              <w:t>Valore</w:t>
            </w:r>
          </w:p>
        </w:tc>
      </w:tr>
      <w:tr>
        <w:tc>
          <w:tcPr>
            <w:tcW w:type="dxa" w:w="2551"/>
          </w:tcPr>
          <w:p>
            <w:r>
              <w:rPr>
                <w:sz w:val="18"/>
              </w:rPr>
              <w:t>Partecipante</w:t>
            </w:r>
          </w:p>
        </w:tc>
        <w:tc>
          <w:tcPr>
            <w:tcW w:type="dxa" w:w="6520"/>
          </w:tcPr>
          <w:sdt>
            <w:sdtPr>
              <w:alias w:val="Partecipante"/>
              <w:tag w:val="design.identity.participant"/>
            </w:sdtPr>
            <w:sdtContent>
              <w:p>
                <w:r>
                  <w:rPr>
                    <w:sz w:val="18"/>
                  </w:rPr>
                  <w:t>Aula del Modulo 6, compilazione guidata dal docente</w:t>
                </w:r>
              </w:p>
            </w:sdtContent>
          </w:sdt>
        </w:tc>
      </w:tr>
      <w:tr>
        <w:tc>
          <w:tcPr>
            <w:tcW w:type="dxa" w:w="2551"/>
          </w:tcPr>
          <w:p>
            <w:r>
              <w:rPr>
                <w:sz w:val="18"/>
              </w:rPr>
              <w:t>Gruppo</w:t>
            </w:r>
          </w:p>
        </w:tc>
        <w:tc>
          <w:tcPr>
            <w:tcW w:type="dxa" w:w="6520"/>
          </w:tcPr>
          <w:sdt>
            <w:sdtPr>
              <w:alias w:val="Gruppo"/>
              <w:tag w:val="design.identity.group"/>
            </w:sdtPr>
            <w:sdtContent>
              <w:p>
                <w:r>
                  <w:rPr>
                    <w:sz w:val="18"/>
                  </w:rPr>
                  <w:t>Caso d'aula Aurora</w:t>
                </w:r>
              </w:p>
            </w:sdtContent>
          </w:sdt>
        </w:tc>
      </w:tr>
      <w:tr>
        <w:tc>
          <w:tcPr>
            <w:tcW w:type="dxa" w:w="2551"/>
          </w:tcPr>
          <w:p>
            <w:r>
              <w:rPr>
                <w:sz w:val="18"/>
              </w:rPr>
              <w:t>Data</w:t>
            </w:r>
          </w:p>
        </w:tc>
        <w:tc>
          <w:tcPr>
            <w:tcW w:type="dxa" w:w="6520"/>
          </w:tcPr>
          <w:sdt>
            <w:sdtPr>
              <w:alias w:val="Data"/>
              <w:tag w:val="design.identity.date"/>
            </w:sdtPr>
            <w:sdtContent>
              <w:p>
                <w:r>
                  <w:rPr>
                    <w:sz w:val="18"/>
                  </w:rPr>
                  <w:t>Modulo 6, mattina</w:t>
                </w:r>
              </w:p>
            </w:sdtContent>
          </w:sdt>
        </w:tc>
      </w:tr>
      <w:tr>
        <w:tc>
          <w:tcPr>
            <w:tcW w:type="dxa" w:w="2551"/>
          </w:tcPr>
          <w:p>
            <w:r>
              <w:rPr>
                <w:sz w:val="18"/>
              </w:rPr>
              <w:t>Nome workflow</w:t>
            </w:r>
          </w:p>
        </w:tc>
        <w:tc>
          <w:tcPr>
            <w:tcW w:type="dxa" w:w="6520"/>
          </w:tcPr>
          <w:sdt>
            <w:sdtPr>
              <w:alias w:val="Nome workflow"/>
              <w:tag w:val="design.identity.workflow_name"/>
            </w:sdtPr>
            <w:sdtContent>
              <w:p>
                <w:r>
                  <w:rPr>
                    <w:sz w:val="18"/>
                  </w:rPr>
                  <w:t>Attivazione workshop Aurora</w:t>
                </w:r>
              </w:p>
            </w:sdtContent>
          </w:sdt>
        </w:tc>
      </w:tr>
      <w:tr>
        <w:tc>
          <w:tcPr>
            <w:tcW w:type="dxa" w:w="2551"/>
          </w:tcPr>
          <w:p>
            <w:r>
              <w:rPr>
                <w:sz w:val="18"/>
              </w:rPr>
              <w:t>Versione spec</w:t>
            </w:r>
          </w:p>
        </w:tc>
        <w:tc>
          <w:tcPr>
            <w:tcW w:type="dxa" w:w="6520"/>
          </w:tcPr>
          <w:sdt>
            <w:sdtPr>
              <w:alias w:val="Versione spec"/>
              <w:tag w:val="design.identity.spec_version"/>
            </w:sdtPr>
            <w:sdtContent>
              <w:p>
                <w:r>
                  <w:rPr>
                    <w:sz w:val="18"/>
                  </w:rPr>
                  <w:t>1.0</w:t>
                </w:r>
              </w:p>
            </w:sdtContent>
          </w:sdt>
        </w:tc>
      </w:tr>
    </w:tbl>
    <w:p>
      <w:pPr>
        <w:spacing w:before="160" w:after="40"/>
      </w:pPr>
      <w:r>
        <w:rPr>
          <w:b/>
          <w:color w:val="2B4590"/>
          <w:sz w:val="20"/>
        </w:rPr>
        <w:t>Perché automatizzare</w:t>
      </w:r>
      <w:r>
        <w:rPr>
          <w:color w:val="777777"/>
          <w:sz w:val="16"/>
        </w:rPr>
        <w:t xml:space="preserve">  [non congelato]</w:t>
      </w:r>
    </w:p>
    <w:p>
      <w:pPr>
        <w:spacing w:before="40" w:after="80"/>
      </w:pPr>
      <w:r>
        <w:rPr>
          <w:i/>
          <w:color w:val="666666"/>
          <w:sz w:val="16"/>
        </w:rPr>
        <w:t>Due o tre righe: quale problema osservato rende l'automazione preferibile a lasciare il processo manuale o a semplificarlo, e a quale costo.</w:t>
      </w:r>
    </w:p>
    <w:sdt>
      <w:sdtPr>
        <w:alias w:val="Perché automatizzare"/>
        <w:tag w:val="lab_record.scope.why"/>
      </w:sdtPr>
      <w:sdtContent>
        <w:p>
          <w:r>
            <w:rPr>
              <w:sz w:val="20"/>
            </w:rPr>
            <w:t>Oggi ogni richiesta arriva per email: la Segreteria copia i campi in un foglio, controlla a mano calendari e portale spazi e inoltra la spesa al Budget con un'altra email. Un inoltro apre un secondo caso, la capienza nominale viene scambiata per quella ibrida, gli inviti possono partire prima dell'approvazione. Semplificare non basta, perché le fonti restano quattro con owner diversi: si automatizzano i controlli ripetibili (deduplica, completezza, sala, soglia di spesa) e restano a persone l'approvazione e la conferma finale.</w:t>
          </w:r>
        </w:p>
      </w:sdtContent>
    </w:sdt>
    <w:p>
      <w:pPr>
        <w:spacing w:before="160" w:after="40"/>
      </w:pPr>
      <w:r>
        <w:rPr>
          <w:b/>
          <w:color w:val="2B4590"/>
          <w:sz w:val="20"/>
        </w:rPr>
        <w:t>Risultato atteso</w:t>
      </w:r>
    </w:p>
    <w:p>
      <w:pPr>
        <w:spacing w:before="40" w:after="80"/>
      </w:pPr>
      <w:r>
        <w:rPr>
          <w:i/>
          <w:color w:val="666666"/>
          <w:sz w:val="16"/>
        </w:rPr>
        <w:t>Che cosa ottiene chi riceve il risultato, in termini verificabili.</w:t>
      </w:r>
    </w:p>
    <w:sdt>
      <w:sdtPr>
        <w:alias w:val="Risultato atteso"/>
        <w:tag w:val="design.mandate.outcome"/>
      </w:sdtPr>
      <w:sdtContent>
        <w:p>
          <w:r>
            <w:rPr>
              <w:sz w:val="20"/>
            </w:rPr>
            <w:t>Entro cinque giorni lavorativi dalla richiesta completa, la Segreteria Formazione ha per ogni workshop richiesto una proposta di attivazione verificabile: data, sala compatibile nel caso peggiore, stato della spesa, prossimo passo con owner, e le evidenze collegate al caso. Nessun invito parte prima dell'approvazione richiesta.</w:t>
          </w:r>
        </w:p>
      </w:sdtContent>
    </w:sdt>
    <w:p>
      <w:pPr>
        <w:spacing w:before="160" w:after="40"/>
      </w:pPr>
      <w:r>
        <w:rPr>
          <w:b/>
          <w:color w:val="2B4590"/>
          <w:sz w:val="20"/>
        </w:rPr>
        <w:t>Come si misura il risultato</w:t>
      </w:r>
      <w:r>
        <w:rPr>
          <w:color w:val="777777"/>
          <w:sz w:val="16"/>
        </w:rPr>
        <w:t xml:space="preserve">  [non congelato]</w:t>
      </w:r>
    </w:p>
    <w:p>
      <w:pPr>
        <w:spacing w:before="40" w:after="80"/>
      </w:pPr>
      <w:r>
        <w:rPr>
          <w:i/>
          <w:color w:val="666666"/>
          <w:sz w:val="16"/>
        </w:rPr>
        <w:t>Il segnale che dice se il risultato è raggiunto: da dove si parte, a che cosa si punta, in quale finestra di tempo.</w:t>
      </w:r>
    </w:p>
    <w:sdt>
      <w:sdtPr>
        <w:alias w:val="Come si misura il risultato"/>
        <w:tag w:val="lab_record.scope.measure"/>
      </w:sdtPr>
      <w:sdtContent>
        <w:p>
          <w:r>
            <w:rPr>
              <w:sz w:val="20"/>
            </w:rPr>
            <w:t>Sul processo: workshop resi attivabili entro cinque giorni lavorativi, tempo in attesa di dati o approvazioni, rilavorazioni dopo gli inviti. Sulle tre richieste di prova: ogni gate riporta esito e regola applicata, nessun caso duplicato, nessuna attivazione sopra soglia senza approvazione.</w:t>
          </w:r>
        </w:p>
      </w:sdtContent>
    </w:sdt>
    <w:p>
      <w:pPr>
        <w:spacing w:before="160" w:after="40"/>
      </w:pPr>
      <w:r>
        <w:rPr>
          <w:b/>
          <w:color w:val="2B4590"/>
          <w:sz w:val="20"/>
        </w:rPr>
        <w:t>Inizio, fine e arresto</w:t>
      </w:r>
      <w:r>
        <w:rPr>
          <w:color w:val="777777"/>
          <w:sz w:val="16"/>
        </w:rPr>
        <w:t xml:space="preserve">  [non congelato]</w:t>
      </w:r>
    </w:p>
    <w:p>
      <w:pPr>
        <w:spacing w:before="40" w:after="80"/>
      </w:pPr>
      <w:r>
        <w:rPr>
          <w:i/>
          <w:color w:val="666666"/>
          <w:sz w:val="16"/>
        </w:rPr>
        <w:t>L'evento che apre un caso, gli esiti con cui si chiude e la condizione che lo ferma prima della fine. Gli stati terminali vanno anche in sezione 3.</w:t>
      </w:r>
    </w:p>
    <w:sdt>
      <w:sdtPr>
        <w:alias w:val="Inizio, fine e arresto"/>
        <w:tag w:val="lab_record.scope.boundaries"/>
      </w:sdtPr>
      <w:sdtContent>
        <w:p>
          <w:r>
            <w:rPr>
              <w:sz w:val="20"/>
            </w:rPr>
            <w:t>Inizio: arriva un'email di richiesta alla Segreteria Formazione. Fine: proposta READY_TO_ACTIVATE, oppure caso fermo con owner e motivo (NEEDS_INPUT, NEEDS_VENUE, WAITING_FOR_APPROVAL). Arresto: spesa oltre 500 unità senza approvazione formale (hard stop), nessuna sala compatibile, richiesta annullata.</w:t>
          </w:r>
        </w:p>
      </w:sdtContent>
    </w:sdt>
    <w:p>
      <w:pPr>
        <w:spacing w:before="160" w:after="40"/>
      </w:pPr>
      <w:r>
        <w:rPr>
          <w:b/>
          <w:color w:val="2B4590"/>
          <w:sz w:val="20"/>
        </w:rPr>
        <w:t>Fuori perimetro</w:t>
      </w:r>
    </w:p>
    <w:p>
      <w:pPr>
        <w:spacing w:before="40" w:after="80"/>
      </w:pPr>
      <w:r>
        <w:rPr>
          <w:i/>
          <w:color w:val="666666"/>
          <w:sz w:val="16"/>
        </w:rPr>
        <w:t>Che cosa il workflow non fa, anche quando sembra vicino a quello che fa.</w:t>
      </w:r>
    </w:p>
    <w:sdt>
      <w:sdtPr>
        <w:alias w:val="Fuori perimetro"/>
        <w:tag w:val="design.mandate.out_of_scope"/>
      </w:sdtPr>
      <w:sdtContent>
        <w:p>
          <w:r>
            <w:rPr>
              <w:sz w:val="20"/>
            </w:rPr>
            <w:t>Selezione o pagamento del docente; contratti e amministrazione; presenze e attestati dopo il workshop; acquisto di strumenti; invio reale di email, inviti o prenotazioni (gli effetti restano proposti); approvazione della spesa da parte del workflow.</w:t>
          </w:r>
        </w:p>
      </w:sdtContent>
    </w:sdt>
    <w:p>
      <w:pPr>
        <w:spacing w:before="160" w:after="40"/>
      </w:pPr>
      <w:r>
        <w:rPr>
          <w:b/>
          <w:color w:val="2B4590"/>
          <w:sz w:val="20"/>
        </w:rPr>
        <w:t>Attori e responsabilità</w:t>
      </w:r>
    </w:p>
    <w:p>
      <w:pPr>
        <w:spacing w:before="40" w:after="80"/>
      </w:pPr>
      <w:r>
        <w:rPr>
          <w:i/>
          <w:color w:val="666666"/>
          <w:sz w:val="16"/>
        </w:rPr>
        <w:t>Per ogni attore: cosa può confermare, cosa non può decidere da solo.</w:t>
      </w:r>
    </w:p>
    <w:tbl>
      <w:tblPr>
        <w:tblStyle w:val="TableGrid"/>
        <w:tblW w:type="auto" w:w="0"/>
        <w:jc w:val="left"/>
        <w:tblLook w:firstColumn="1" w:firstRow="1" w:lastColumn="0" w:lastRow="0" w:noHBand="0" w:noVBand="1" w:val="04A0"/>
      </w:tblPr>
      <w:tblGrid>
        <w:gridCol w:w="3135"/>
        <w:gridCol w:w="3135"/>
        <w:gridCol w:w="3135"/>
      </w:tblGrid>
      <w:tr>
        <w:tc>
          <w:tcPr>
            <w:tcW w:type="dxa" w:w="2551"/>
            <w:shd w:val="clear" w:color="auto" w:fill="1A1A2E"/>
          </w:tcPr>
          <w:p>
            <w:r>
              <w:rPr>
                <w:b/>
                <w:color w:val="FFFFFF"/>
                <w:sz w:val="16"/>
              </w:rPr>
              <w:t>Soggetto</w:t>
            </w:r>
          </w:p>
        </w:tc>
        <w:tc>
          <w:tcPr>
            <w:tcW w:type="dxa" w:w="3118"/>
            <w:shd w:val="clear" w:color="auto" w:fill="1A1A2E"/>
          </w:tcPr>
          <w:p>
            <w:r>
              <w:rPr>
                <w:b/>
                <w:color w:val="FFFFFF"/>
                <w:sz w:val="16"/>
              </w:rPr>
              <w:t>Può confermare</w:t>
            </w:r>
          </w:p>
        </w:tc>
        <w:tc>
          <w:tcPr>
            <w:tcW w:type="dxa" w:w="3402"/>
            <w:shd w:val="clear" w:color="auto" w:fill="1A1A2E"/>
          </w:tcPr>
          <w:p>
            <w:r>
              <w:rPr>
                <w:b/>
                <w:color w:val="FFFFFF"/>
                <w:sz w:val="16"/>
              </w:rPr>
              <w:t>Non può decidere da solo</w:t>
            </w:r>
          </w:p>
        </w:tc>
      </w:tr>
      <w:tr>
        <w:tc>
          <w:tcPr>
            <w:tcW w:type="dxa" w:w="2551"/>
          </w:tcPr>
          <w:sdt>
            <w:sdtPr>
              <w:alias w:val="Attore 1 — soggetto"/>
              <w:tag w:val="design.mandate.actors.1.subject"/>
            </w:sdtPr>
            <w:sdtContent>
              <w:p>
                <w:r>
                  <w:rPr>
                    <w:sz w:val="18"/>
                  </w:rPr>
                  <w:t>Segreteria Formazione (owner del caso)</w:t>
                </w:r>
              </w:p>
            </w:sdtContent>
          </w:sdt>
        </w:tc>
        <w:tc>
          <w:tcPr>
            <w:tcW w:type="dxa" w:w="3118"/>
          </w:tcPr>
          <w:sdt>
            <w:sdtPr>
              <w:alias w:val="Attore 1 — può confermare"/>
              <w:tag w:val="design.mandate.actors.1.can_confirm"/>
            </w:sdtPr>
            <w:sdtContent>
              <w:p>
                <w:r>
                  <w:rPr>
                    <w:sz w:val="18"/>
                  </w:rPr>
                  <w:t>Completezza dei campi, deduplica, scelta fra opzioni già validate dai gate</w:t>
                </w:r>
              </w:p>
            </w:sdtContent>
          </w:sdt>
        </w:tc>
        <w:tc>
          <w:tcPr>
            <w:tcW w:type="dxa" w:w="3402"/>
          </w:tcPr>
          <w:sdt>
            <w:sdtPr>
              <w:alias w:val="Attore 1 — non può decidere"/>
              <w:tag w:val="design.mandate.actors.1.cannot_decide"/>
            </w:sdtPr>
            <w:sdtContent>
              <w:p>
                <w:r>
                  <w:rPr>
                    <w:sz w:val="18"/>
                  </w:rPr>
                  <w:t>Autorizzare una spesa oltre 500 unità; trattare una modalità mancante come presenza confermata</w:t>
                </w:r>
              </w:p>
            </w:sdtContent>
          </w:sdt>
        </w:tc>
      </w:tr>
      <w:tr>
        <w:tc>
          <w:tcPr>
            <w:tcW w:type="dxa" w:w="2551"/>
          </w:tcPr>
          <w:sdt>
            <w:sdtPr>
              <w:alias w:val="Attore 2 — soggetto"/>
              <w:tag w:val="design.mandate.actors.2.subject"/>
            </w:sdtPr>
            <w:sdtContent>
              <w:p>
                <w:r>
                  <w:rPr>
                    <w:sz w:val="18"/>
                  </w:rPr>
                  <w:t>Referente Sede Centro</w:t>
                </w:r>
              </w:p>
            </w:sdtContent>
          </w:sdt>
        </w:tc>
        <w:tc>
          <w:tcPr>
            <w:tcW w:type="dxa" w:w="3118"/>
          </w:tcPr>
          <w:sdt>
            <w:sdtPr>
              <w:alias w:val="Attore 2 — può confermare"/>
              <w:tag w:val="design.mandate.actors.2.can_confirm"/>
            </w:sdtPr>
            <w:sdtContent>
              <w:p>
                <w:r>
                  <w:rPr>
                    <w:sz w:val="18"/>
                  </w:rPr>
                  <w:t>Disponibilità della sala, capienza in assetto ibrido, accesso dei partecipanti esterni</w:t>
                </w:r>
              </w:p>
            </w:sdtContent>
          </w:sdt>
        </w:tc>
        <w:tc>
          <w:tcPr>
            <w:tcW w:type="dxa" w:w="3402"/>
          </w:tcPr>
          <w:sdt>
            <w:sdtPr>
              <w:alias w:val="Attore 2 — non può decidere"/>
              <w:tag w:val="design.mandate.actors.2.cannot_decide"/>
            </w:sdtPr>
            <w:sdtContent>
              <w:p>
                <w:r>
                  <w:rPr>
                    <w:sz w:val="18"/>
                  </w:rPr>
                  <w:t>Autorizzare la spesa; dichiarare il workshop attivabile</w:t>
                </w:r>
              </w:p>
            </w:sdtContent>
          </w:sdt>
        </w:tc>
      </w:tr>
      <w:tr>
        <w:tc>
          <w:tcPr>
            <w:tcW w:type="dxa" w:w="2551"/>
          </w:tcPr>
          <w:sdt>
            <w:sdtPr>
              <w:alias w:val="Attore 3 — soggetto"/>
              <w:tag w:val="design.mandate.actors.3.subject"/>
            </w:sdtPr>
            <w:sdtContent>
              <w:p>
                <w:r>
                  <w:rPr>
                    <w:sz w:val="18"/>
                  </w:rPr>
                  <w:t>Responsabile Budget</w:t>
                </w:r>
              </w:p>
            </w:sdtContent>
          </w:sdt>
        </w:tc>
        <w:tc>
          <w:tcPr>
            <w:tcW w:type="dxa" w:w="3118"/>
          </w:tcPr>
          <w:sdt>
            <w:sdtPr>
              <w:alias w:val="Attore 3 — può confermare"/>
              <w:tag w:val="design.mandate.actors.3.can_confirm"/>
            </w:sdtPr>
            <w:sdtContent>
              <w:p>
                <w:r>
                  <w:rPr>
                    <w:sz w:val="18"/>
                  </w:rPr>
                  <w:t>Approvazione formale di una spesa oltre 500 unità, per quel caso e quell'importo</w:t>
                </w:r>
              </w:p>
            </w:sdtContent>
          </w:sdt>
        </w:tc>
        <w:tc>
          <w:tcPr>
            <w:tcW w:type="dxa" w:w="3402"/>
          </w:tcPr>
          <w:sdt>
            <w:sdtPr>
              <w:alias w:val="Attore 3 — non può decidere"/>
              <w:tag w:val="design.mandate.actors.3.cannot_decide"/>
            </w:sdtPr>
            <w:sdtContent>
              <w:p>
                <w:r>
                  <w:rPr>
                    <w:sz w:val="18"/>
                  </w:rPr>
                  <w:t>Confermare la sala o la completezza dei campi</w:t>
                </w:r>
              </w:p>
            </w:sdtContent>
          </w:sdt>
        </w:tc>
      </w:tr>
      <w:tr>
        <w:tc>
          <w:tcPr>
            <w:tcW w:type="dxa" w:w="2551"/>
          </w:tcPr>
          <w:sdt>
            <w:sdtPr>
              <w:alias w:val="Attore 4 — soggetto"/>
              <w:tag w:val="design.mandate.actors.4.subject"/>
            </w:sdtPr>
            <w:sdtContent>
              <w:p>
                <w:r>
                  <w:rPr>
                    <w:sz w:val="18"/>
                  </w:rPr>
                  <w:t>Direzione Programmi (richiedente)</w:t>
                </w:r>
              </w:p>
            </w:sdtContent>
          </w:sdt>
        </w:tc>
        <w:tc>
          <w:tcPr>
            <w:tcW w:type="dxa" w:w="3118"/>
          </w:tcPr>
          <w:sdt>
            <w:sdtPr>
              <w:alias w:val="Attore 4 — può confermare"/>
              <w:tag w:val="design.mandate.actors.4.can_confirm"/>
            </w:sdtPr>
            <w:sdtContent>
              <w:p>
                <w:r>
                  <w:rPr>
                    <w:sz w:val="18"/>
                  </w:rPr>
                  <w:t>Dati e modalità dei partecipanti; chiarimento delle modalità mancanti</w:t>
                </w:r>
              </w:p>
            </w:sdtContent>
          </w:sdt>
        </w:tc>
        <w:tc>
          <w:tcPr>
            <w:tcW w:type="dxa" w:w="3402"/>
          </w:tcPr>
          <w:sdt>
            <w:sdtPr>
              <w:alias w:val="Attore 4 — non può decidere"/>
              <w:tag w:val="design.mandate.actors.4.cannot_decide"/>
            </w:sdtPr>
            <w:sdtContent>
              <w:p>
                <w:r>
                  <w:rPr>
                    <w:sz w:val="18"/>
                  </w:rPr>
                  <w:t>Scegliere la sala o approvare la spesa</w:t>
                </w:r>
              </w:p>
            </w:sdtContent>
          </w:sdt>
        </w:tc>
      </w:tr>
      <w:tr>
        <w:tc>
          <w:tcPr>
            <w:tcW w:type="dxa" w:w="2551"/>
          </w:tcPr>
          <w:sdt>
            <w:sdtPr>
              <w:alias w:val="Attore 5 — soggetto"/>
              <w:tag w:val="design.mandate.actors.5.subject"/>
            </w:sdtPr>
            <w:sdtContent>
              <w:p>
                <w:r>
                  <w:rPr>
                    <w:sz w:val="18"/>
                  </w:rPr>
                  <w:t>Docente</w:t>
                </w:r>
              </w:p>
            </w:sdtContent>
          </w:sdt>
        </w:tc>
        <w:tc>
          <w:tcPr>
            <w:tcW w:type="dxa" w:w="3118"/>
          </w:tcPr>
          <w:sdt>
            <w:sdtPr>
              <w:alias w:val="Attore 5 — può confermare"/>
              <w:tag w:val="design.mandate.actors.5.can_confirm"/>
            </w:sdtPr>
            <w:sdtContent>
              <w:p>
                <w:r>
                  <w:rPr>
                    <w:sz w:val="18"/>
                  </w:rPr>
                  <w:t>Finestre di disponibilità</w:t>
                </w:r>
              </w:p>
            </w:sdtContent>
          </w:sdt>
        </w:tc>
        <w:tc>
          <w:tcPr>
            <w:tcW w:type="dxa" w:w="3402"/>
          </w:tcPr>
          <w:sdt>
            <w:sdtPr>
              <w:alias w:val="Attore 5 — non può decidere"/>
              <w:tag w:val="design.mandate.actors.5.cannot_decide"/>
            </w:sdtPr>
            <w:sdtContent>
              <w:p>
                <w:r>
                  <w:rPr>
                    <w:sz w:val="18"/>
                  </w:rPr>
                  <w:t>Scegliere la sede o autorizzare la spesa</w:t>
                </w:r>
              </w:p>
            </w:sdtContent>
          </w:sdt>
        </w:tc>
      </w:tr>
    </w:tbl>
    <w:p>
      <w:r>
        <w:br w:type="page"/>
      </w:r>
    </w:p>
    <w:p>
      <w:pPr>
        <w:spacing w:before="280" w:after="80"/>
        <w:pBdr>
          <w:bottom w:val="single" w:sz="6" w:space="1" w:color="1A1A2E"/>
        </w:pBdr>
      </w:pPr>
      <w:r>
        <w:rPr>
          <w:b/>
          <w:color w:val="1A1A2E"/>
          <w:sz w:val="26"/>
        </w:rPr>
        <w:t>2. EXCEPTION MAP</w:t>
      </w:r>
    </w:p>
    <w:p>
      <w:pPr>
        <w:spacing w:before="40" w:after="80"/>
      </w:pPr>
      <w:r>
        <w:rPr>
          <w:i/>
          <w:color w:val="666666"/>
          <w:sz w:val="16"/>
        </w:rPr>
        <w:t>Prima come funziona oggi il processo, poi che cosa può andare storto nel workflow e chi se ne occupa.</w:t>
      </w:r>
    </w:p>
    <w:p>
      <w:pPr>
        <w:spacing w:before="160" w:after="40"/>
      </w:pPr>
      <w:r>
        <w:rPr>
          <w:b/>
          <w:color w:val="2B4590"/>
          <w:sz w:val="20"/>
        </w:rPr>
        <w:t>Processo attuale</w:t>
      </w:r>
      <w:r>
        <w:rPr>
          <w:color w:val="777777"/>
          <w:sz w:val="16"/>
        </w:rPr>
        <w:t xml:space="preserve">  [non congelato]</w:t>
      </w:r>
    </w:p>
    <w:p>
      <w:pPr>
        <w:spacing w:before="40" w:after="80"/>
      </w:pPr>
      <w:r>
        <w:rPr>
          <w:i/>
          <w:color w:val="666666"/>
          <w:sz w:val="16"/>
        </w:rPr>
        <w:t>Come attraversa oggi un caso il processo: da che cosa parte, chi lo passa a chi e dove si perde tempo o contesto. Bastano quattro passi.</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51"/>
            <w:shd w:val="clear" w:color="auto" w:fill="1A1A2E"/>
          </w:tcPr>
          <w:p>
            <w:r>
              <w:rPr>
                <w:b/>
                <w:color w:val="FFFFFF"/>
                <w:sz w:val="16"/>
              </w:rPr>
              <w:t>Passo</w:t>
            </w:r>
          </w:p>
        </w:tc>
        <w:tc>
          <w:tcPr>
            <w:tcW w:type="dxa" w:w="1984"/>
            <w:shd w:val="clear" w:color="auto" w:fill="1A1A2E"/>
          </w:tcPr>
          <w:p>
            <w:r>
              <w:rPr>
                <w:b/>
                <w:color w:val="FFFFFF"/>
                <w:sz w:val="16"/>
              </w:rPr>
              <w:t>Chi</w:t>
            </w:r>
          </w:p>
        </w:tc>
        <w:tc>
          <w:tcPr>
            <w:tcW w:type="dxa" w:w="1984"/>
            <w:shd w:val="clear" w:color="auto" w:fill="1A1A2E"/>
          </w:tcPr>
          <w:p>
            <w:r>
              <w:rPr>
                <w:b/>
                <w:color w:val="FFFFFF"/>
                <w:sz w:val="16"/>
              </w:rPr>
              <w:t>Passa a</w:t>
            </w:r>
          </w:p>
        </w:tc>
        <w:tc>
          <w:tcPr>
            <w:tcW w:type="dxa" w:w="2551"/>
            <w:shd w:val="clear" w:color="auto" w:fill="1A1A2E"/>
          </w:tcPr>
          <w:p>
            <w:r>
              <w:rPr>
                <w:b/>
                <w:color w:val="FFFFFF"/>
                <w:sz w:val="16"/>
              </w:rPr>
              <w:t>Dove si perde</w:t>
            </w:r>
          </w:p>
        </w:tc>
      </w:tr>
      <w:tr>
        <w:tc>
          <w:tcPr>
            <w:tcW w:type="dxa" w:w="2551"/>
          </w:tcPr>
          <w:sdt>
            <w:sdtPr>
              <w:alias w:val="Processo attuale 1 — passo"/>
              <w:tag w:val="lab_record.as_is.1.step"/>
            </w:sdtPr>
            <w:sdtContent>
              <w:p>
                <w:r>
                  <w:rPr>
                    <w:sz w:val="18"/>
                  </w:rPr>
                  <w:t>Richiesta per email alla casella Formazione</w:t>
                </w:r>
              </w:p>
            </w:sdtContent>
          </w:sdt>
        </w:tc>
        <w:tc>
          <w:tcPr>
            <w:tcW w:type="dxa" w:w="1984"/>
          </w:tcPr>
          <w:sdt>
            <w:sdtPr>
              <w:alias w:val="Processo attuale 1 — chi"/>
              <w:tag w:val="lab_record.as_is.1.who"/>
            </w:sdtPr>
            <w:sdtContent>
              <w:p>
                <w:r>
                  <w:rPr>
                    <w:sz w:val="18"/>
                  </w:rPr>
                  <w:t>Direzione Programmi</w:t>
                </w:r>
              </w:p>
            </w:sdtContent>
          </w:sdt>
        </w:tc>
        <w:tc>
          <w:tcPr>
            <w:tcW w:type="dxa" w:w="1984"/>
          </w:tcPr>
          <w:sdt>
            <w:sdtPr>
              <w:alias w:val="Processo attuale 1 — passa a"/>
              <w:tag w:val="lab_record.as_is.1.handoff"/>
            </w:sdtPr>
            <w:sdtContent>
              <w:p>
                <w:r>
                  <w:rPr>
                    <w:sz w:val="18"/>
                  </w:rPr>
                  <w:t>Segreteria Formazione</w:t>
                </w:r>
              </w:p>
            </w:sdtContent>
          </w:sdt>
        </w:tc>
        <w:tc>
          <w:tcPr>
            <w:tcW w:type="dxa" w:w="2551"/>
          </w:tcPr>
          <w:sdt>
            <w:sdtPr>
              <w:alias w:val="Processo attuale 1 — dove si perde"/>
              <w:tag w:val="lab_record.as_is.1.loss"/>
            </w:sdtPr>
            <w:sdtContent>
              <w:p>
                <w:r>
                  <w:rPr>
                    <w:sz w:val="18"/>
                  </w:rPr>
                  <w:t>Un inoltro della stessa email apre un secondo caso; i campi si copiano a mano in un foglio locale</w:t>
                </w:r>
              </w:p>
            </w:sdtContent>
          </w:sdt>
        </w:tc>
      </w:tr>
      <w:tr>
        <w:tc>
          <w:tcPr>
            <w:tcW w:type="dxa" w:w="2551"/>
          </w:tcPr>
          <w:sdt>
            <w:sdtPr>
              <w:alias w:val="Processo attuale 2 — passo"/>
              <w:tag w:val="lab_record.as_is.2.step"/>
            </w:sdtPr>
            <w:sdtContent>
              <w:p>
                <w:r>
                  <w:rPr>
                    <w:sz w:val="18"/>
                  </w:rPr>
                  <w:t>Controllo di calendari e portale spazi; richiesta di «tenere» una sala</w:t>
                </w:r>
              </w:p>
            </w:sdtContent>
          </w:sdt>
        </w:tc>
        <w:tc>
          <w:tcPr>
            <w:tcW w:type="dxa" w:w="1984"/>
          </w:tcPr>
          <w:sdt>
            <w:sdtPr>
              <w:alias w:val="Processo attuale 2 — chi"/>
              <w:tag w:val="lab_record.as_is.2.who"/>
            </w:sdtPr>
            <w:sdtContent>
              <w:p>
                <w:r>
                  <w:rPr>
                    <w:sz w:val="18"/>
                  </w:rPr>
                  <w:t>Segreteria Formazione</w:t>
                </w:r>
              </w:p>
            </w:sdtContent>
          </w:sdt>
        </w:tc>
        <w:tc>
          <w:tcPr>
            <w:tcW w:type="dxa" w:w="1984"/>
          </w:tcPr>
          <w:sdt>
            <w:sdtPr>
              <w:alias w:val="Processo attuale 2 — passa a"/>
              <w:tag w:val="lab_record.as_is.2.handoff"/>
            </w:sdtPr>
            <w:sdtContent>
              <w:p>
                <w:r>
                  <w:rPr>
                    <w:sz w:val="18"/>
                  </w:rPr>
                  <w:t>Referente Sede Centro</w:t>
                </w:r>
              </w:p>
            </w:sdtContent>
          </w:sdt>
        </w:tc>
        <w:tc>
          <w:tcPr>
            <w:tcW w:type="dxa" w:w="2551"/>
          </w:tcPr>
          <w:sdt>
            <w:sdtPr>
              <w:alias w:val="Processo attuale 2 — dove si perde"/>
              <w:tag w:val="lab_record.as_is.2.loss"/>
            </w:sdtPr>
            <w:sdtContent>
              <w:p>
                <w:r>
                  <w:rPr>
                    <w:sz w:val="18"/>
                  </w:rPr>
                  <w:t>La riserva non ha un identificativo comune; si usa la capienza nominale invece di quella ibrida</w:t>
                </w:r>
              </w:p>
            </w:sdtContent>
          </w:sdt>
        </w:tc>
      </w:tr>
      <w:tr>
        <w:tc>
          <w:tcPr>
            <w:tcW w:type="dxa" w:w="2551"/>
          </w:tcPr>
          <w:sdt>
            <w:sdtPr>
              <w:alias w:val="Processo attuale 3 — passo"/>
              <w:tag w:val="lab_record.as_is.3.step"/>
            </w:sdtPr>
            <w:sdtContent>
              <w:p>
                <w:r>
                  <w:rPr>
                    <w:sz w:val="18"/>
                  </w:rPr>
                  <w:t>Stima della spesa in un foglio e inoltro sopra soglia</w:t>
                </w:r>
              </w:p>
            </w:sdtContent>
          </w:sdt>
        </w:tc>
        <w:tc>
          <w:tcPr>
            <w:tcW w:type="dxa" w:w="1984"/>
          </w:tcPr>
          <w:sdt>
            <w:sdtPr>
              <w:alias w:val="Processo attuale 3 — chi"/>
              <w:tag w:val="lab_record.as_is.3.who"/>
            </w:sdtPr>
            <w:sdtContent>
              <w:p>
                <w:r>
                  <w:rPr>
                    <w:sz w:val="18"/>
                  </w:rPr>
                  <w:t>Segreteria Formazione</w:t>
                </w:r>
              </w:p>
            </w:sdtContent>
          </w:sdt>
        </w:tc>
        <w:tc>
          <w:tcPr>
            <w:tcW w:type="dxa" w:w="1984"/>
          </w:tcPr>
          <w:sdt>
            <w:sdtPr>
              <w:alias w:val="Processo attuale 3 — passa a"/>
              <w:tag w:val="lab_record.as_is.3.handoff"/>
            </w:sdtPr>
            <w:sdtContent>
              <w:p>
                <w:r>
                  <w:rPr>
                    <w:sz w:val="18"/>
                  </w:rPr>
                  <w:t>Responsabile Budget</w:t>
                </w:r>
              </w:p>
            </w:sdtContent>
          </w:sdt>
        </w:tc>
        <w:tc>
          <w:tcPr>
            <w:tcW w:type="dxa" w:w="2551"/>
          </w:tcPr>
          <w:sdt>
            <w:sdtPr>
              <w:alias w:val="Processo attuale 3 — dove si perde"/>
              <w:tag w:val="lab_record.as_is.3.loss"/>
            </w:sdtPr>
            <w:sdtContent>
              <w:p>
                <w:r>
                  <w:rPr>
                    <w:sz w:val="18"/>
                  </w:rPr>
                  <w:t>L'approvazione può arrivare dopo che gli inviti sono stati preparati</w:t>
                </w:r>
              </w:p>
            </w:sdtContent>
          </w:sdt>
        </w:tc>
      </w:tr>
      <w:tr>
        <w:tc>
          <w:tcPr>
            <w:tcW w:type="dxa" w:w="2551"/>
          </w:tcPr>
          <w:sdt>
            <w:sdtPr>
              <w:alias w:val="Processo attuale 4 — passo"/>
              <w:tag w:val="lab_record.as_is.4.step"/>
            </w:sdtPr>
            <w:sdtContent>
              <w:p>
                <w:r>
                  <w:rPr>
                    <w:sz w:val="18"/>
                  </w:rPr>
                  <w:t>Registro, inviti e ticket dei servizi; chiusura del foglio su conferme informali</w:t>
                </w:r>
              </w:p>
            </w:sdtContent>
          </w:sdt>
        </w:tc>
        <w:tc>
          <w:tcPr>
            <w:tcW w:type="dxa" w:w="1984"/>
          </w:tcPr>
          <w:sdt>
            <w:sdtPr>
              <w:alias w:val="Processo attuale 4 — chi"/>
              <w:tag w:val="lab_record.as_is.4.who"/>
            </w:sdtPr>
            <w:sdtContent>
              <w:p>
                <w:r>
                  <w:rPr>
                    <w:sz w:val="18"/>
                  </w:rPr>
                  <w:t>Segreteria Formazione</w:t>
                </w:r>
              </w:p>
            </w:sdtContent>
          </w:sdt>
        </w:tc>
        <w:tc>
          <w:tcPr>
            <w:tcW w:type="dxa" w:w="1984"/>
          </w:tcPr>
          <w:sdt>
            <w:sdtPr>
              <w:alias w:val="Processo attuale 4 — passa a"/>
              <w:tag w:val="lab_record.as_is.4.handoff"/>
            </w:sdtPr>
            <w:sdtContent>
              <w:p>
                <w:r>
                  <w:rPr>
                    <w:sz w:val="18"/>
                  </w:rPr>
                  <w:t>Amministratore Registro e partecipanti</w:t>
                </w:r>
              </w:p>
            </w:sdtContent>
          </w:sdt>
        </w:tc>
        <w:tc>
          <w:tcPr>
            <w:tcW w:type="dxa" w:w="2551"/>
          </w:tcPr>
          <w:sdt>
            <w:sdtPr>
              <w:alias w:val="Processo attuale 4 — dove si perde"/>
              <w:tag w:val="lab_record.as_is.4.loss"/>
            </w:sdtPr>
            <w:sdtContent>
              <w:p>
                <w:r>
                  <w:rPr>
                    <w:sz w:val="18"/>
                  </w:rPr>
                  <w:t>Non si sa da quanto un caso è fermo né presso chi; gli effetti parziali non hanno compensazione</w:t>
                </w:r>
              </w:p>
            </w:sdtContent>
          </w:sdt>
        </w:tc>
      </w:tr>
    </w:tbl>
    <w:p>
      <w:pPr>
        <w:spacing w:before="160" w:after="40"/>
      </w:pPr>
      <w:r>
        <w:rPr>
          <w:b/>
          <w:color w:val="2B4590"/>
          <w:sz w:val="20"/>
        </w:rPr>
        <w:t>Failure mode e fallback</w:t>
      </w:r>
    </w:p>
    <w:p>
      <w:pPr>
        <w:spacing w:before="40" w:after="80"/>
      </w:pPr>
      <w:r>
        <w:rPr>
          <w:i/>
          <w:color w:val="666666"/>
          <w:sz w:val="16"/>
        </w:rPr>
        <w:t>Per ogni failure mode: cosa può andare storto, come si risponde, chi gestisce. Almeno una riga obbligatoria. Includi almeno un timeout (un'attesa che scade) o una compensazione (un effetto parziale da annullare o riconciliare).</w:t>
      </w:r>
    </w:p>
    <w:tbl>
      <w:tblPr>
        <w:tblStyle w:val="TableGrid"/>
        <w:tblW w:type="auto" w:w="0"/>
        <w:jc w:val="left"/>
        <w:tblLook w:firstColumn="1" w:firstRow="1" w:lastColumn="0" w:lastRow="0" w:noHBand="0" w:noVBand="1" w:val="04A0"/>
      </w:tblPr>
      <w:tblGrid>
        <w:gridCol w:w="3135"/>
        <w:gridCol w:w="3135"/>
        <w:gridCol w:w="3135"/>
      </w:tblGrid>
      <w:tr>
        <w:tc>
          <w:tcPr>
            <w:tcW w:type="dxa" w:w="3118"/>
            <w:shd w:val="clear" w:color="auto" w:fill="1A1A2E"/>
          </w:tcPr>
          <w:p>
            <w:r>
              <w:rPr>
                <w:b/>
                <w:color w:val="FFFFFF"/>
                <w:sz w:val="16"/>
              </w:rPr>
              <w:t>Failure mode</w:t>
            </w:r>
          </w:p>
        </w:tc>
        <w:tc>
          <w:tcPr>
            <w:tcW w:type="dxa" w:w="3118"/>
            <w:shd w:val="clear" w:color="auto" w:fill="1A1A2E"/>
          </w:tcPr>
          <w:p>
            <w:r>
              <w:rPr>
                <w:b/>
                <w:color w:val="FFFFFF"/>
                <w:sz w:val="16"/>
              </w:rPr>
              <w:t>Fallback</w:t>
            </w:r>
          </w:p>
        </w:tc>
        <w:tc>
          <w:tcPr>
            <w:tcW w:type="dxa" w:w="2835"/>
            <w:shd w:val="clear" w:color="auto" w:fill="1A1A2E"/>
          </w:tcPr>
          <w:p>
            <w:r>
              <w:rPr>
                <w:b/>
                <w:color w:val="FFFFFF"/>
                <w:sz w:val="16"/>
              </w:rPr>
              <w:t>Owner</w:t>
            </w:r>
          </w:p>
        </w:tc>
      </w:tr>
      <w:tr>
        <w:tc>
          <w:tcPr>
            <w:tcW w:type="dxa" w:w="3118"/>
          </w:tcPr>
          <w:sdt>
            <w:sdtPr>
              <w:alias w:val="Eccezione 1 — failure mode"/>
              <w:tag w:val="design.exceptions.1.failure"/>
            </w:sdtPr>
            <w:sdtContent>
              <w:p>
                <w:r>
                  <w:rPr>
                    <w:sz w:val="18"/>
                  </w:rPr>
                  <w:t>Richiesta duplicata: la stessa richiesta reinviata o inoltrata (Message-ID già visto, oppure References o In-Reply-To che lo citano)</w:t>
                </w:r>
              </w:p>
            </w:sdtContent>
          </w:sdt>
        </w:tc>
        <w:tc>
          <w:tcPr>
            <w:tcW w:type="dxa" w:w="3118"/>
          </w:tcPr>
          <w:sdt>
            <w:sdtPr>
              <w:alias w:val="Eccezione 1 — fallback"/>
              <w:tag w:val="design.exceptions.1.fallback"/>
            </w:sdtPr>
            <w:sdtContent>
              <w:p>
                <w:r>
                  <w:rPr>
                    <w:sz w:val="18"/>
                  </w:rPr>
                  <w:t>Collegarla al caso esistente: nessun caso nuovo, nessuna seconda richiesta di approvazione; la nuova provenienza resta nella trace</w:t>
                </w:r>
              </w:p>
            </w:sdtContent>
          </w:sdt>
        </w:tc>
        <w:tc>
          <w:tcPr>
            <w:tcW w:type="dxa" w:w="2835"/>
          </w:tcPr>
          <w:sdt>
            <w:sdtPr>
              <w:alias w:val="Eccezione 1 — owner"/>
              <w:tag w:val="design.exceptions.1.owner"/>
            </w:sdtPr>
            <w:sdtContent>
              <w:p>
                <w:r>
                  <w:rPr>
                    <w:sz w:val="18"/>
                  </w:rPr>
                  <w:t>Segreteria Formazione</w:t>
                </w:r>
              </w:p>
            </w:sdtContent>
          </w:sdt>
        </w:tc>
      </w:tr>
      <w:tr>
        <w:tc>
          <w:tcPr>
            <w:tcW w:type="dxa" w:w="3118"/>
          </w:tcPr>
          <w:sdt>
            <w:sdtPr>
              <w:alias w:val="Eccezione 2 — failure mode"/>
              <w:tag w:val="design.exceptions.2.failure"/>
            </w:sdtPr>
            <w:sdtContent>
              <w:p>
                <w:r>
                  <w:rPr>
                    <w:sz w:val="18"/>
                  </w:rPr>
                  <w:t>Campo obbligatorio mancante (regola 1)</w:t>
                </w:r>
              </w:p>
            </w:sdtContent>
          </w:sdt>
        </w:tc>
        <w:tc>
          <w:tcPr>
            <w:tcW w:type="dxa" w:w="3118"/>
          </w:tcPr>
          <w:sdt>
            <w:sdtPr>
              <w:alias w:val="Eccezione 2 — fallback"/>
              <w:tag w:val="design.exceptions.2.fallback"/>
            </w:sdtPr>
            <w:sdtContent>
              <w:p>
                <w:r>
                  <w:rPr>
                    <w:sz w:val="18"/>
                  </w:rPr>
                  <w:t>NEEDS_INPUT con richiesta di chiarimento al richiedente; il caso resta aperto con owner</w:t>
                </w:r>
              </w:p>
            </w:sdtContent>
          </w:sdt>
        </w:tc>
        <w:tc>
          <w:tcPr>
            <w:tcW w:type="dxa" w:w="2835"/>
          </w:tcPr>
          <w:sdt>
            <w:sdtPr>
              <w:alias w:val="Eccezione 2 — owner"/>
              <w:tag w:val="design.exceptions.2.owner"/>
            </w:sdtPr>
            <w:sdtContent>
              <w:p>
                <w:r>
                  <w:rPr>
                    <w:sz w:val="18"/>
                  </w:rPr>
                  <w:t>Direzione Programmi</w:t>
                </w:r>
              </w:p>
            </w:sdtContent>
          </w:sdt>
        </w:tc>
      </w:tr>
      <w:tr>
        <w:tc>
          <w:tcPr>
            <w:tcW w:type="dxa" w:w="3118"/>
          </w:tcPr>
          <w:sdt>
            <w:sdtPr>
              <w:alias w:val="Eccezione 3 — failure mode"/>
              <w:tag w:val="design.exceptions.3.failure"/>
            </w:sdtPr>
            <w:sdtContent>
              <w:p>
                <w:r>
                  <w:rPr>
                    <w:sz w:val="18"/>
                  </w:rPr>
                  <w:t>Nessuna sala con posti sufficienti nel caso peggiore in uno slot del docente</w:t>
                </w:r>
              </w:p>
            </w:sdtContent>
          </w:sdt>
        </w:tc>
        <w:tc>
          <w:tcPr>
            <w:tcW w:type="dxa" w:w="3118"/>
          </w:tcPr>
          <w:sdt>
            <w:sdtPr>
              <w:alias w:val="Eccezione 3 — fallback"/>
              <w:tag w:val="design.exceptions.3.fallback"/>
            </w:sdtPr>
            <w:sdtContent>
              <w:p>
                <w:r>
                  <w:rPr>
                    <w:sz w:val="18"/>
                  </w:rPr>
                  <w:t>NEEDS_VENUE con l'alternativa più vicina; escalation al Referente Sede</w:t>
                </w:r>
              </w:p>
            </w:sdtContent>
          </w:sdt>
        </w:tc>
        <w:tc>
          <w:tcPr>
            <w:tcW w:type="dxa" w:w="2835"/>
          </w:tcPr>
          <w:sdt>
            <w:sdtPr>
              <w:alias w:val="Eccezione 3 — owner"/>
              <w:tag w:val="design.exceptions.3.owner"/>
            </w:sdtPr>
            <w:sdtContent>
              <w:p>
                <w:r>
                  <w:rPr>
                    <w:sz w:val="18"/>
                  </w:rPr>
                  <w:t>Referente Sede Centro</w:t>
                </w:r>
              </w:p>
            </w:sdtContent>
          </w:sdt>
        </w:tc>
      </w:tr>
      <w:tr>
        <w:tc>
          <w:tcPr>
            <w:tcW w:type="dxa" w:w="3118"/>
          </w:tcPr>
          <w:sdt>
            <w:sdtPr>
              <w:alias w:val="Eccezione 4 — failure mode"/>
              <w:tag w:val="design.exceptions.4.failure"/>
            </w:sdtPr>
            <w:sdtContent>
              <w:p>
                <w:r>
                  <w:rPr>
                    <w:sz w:val="18"/>
                  </w:rPr>
                  <w:t>Spesa stimata oltre 500 unità senza approvazione formale (regola 5)</w:t>
                </w:r>
              </w:p>
            </w:sdtContent>
          </w:sdt>
        </w:tc>
        <w:tc>
          <w:tcPr>
            <w:tcW w:type="dxa" w:w="3118"/>
          </w:tcPr>
          <w:sdt>
            <w:sdtPr>
              <w:alias w:val="Eccezione 4 — fallback"/>
              <w:tag w:val="design.exceptions.4.fallback"/>
            </w:sdtPr>
            <w:sdtContent>
              <w:p>
                <w:r>
                  <w:rPr>
                    <w:sz w:val="18"/>
                  </w:rPr>
                  <w:t>Hard stop: WAITING_FOR_APPROVAL, nessun invito né prenotazione definitiva</w:t>
                </w:r>
              </w:p>
            </w:sdtContent>
          </w:sdt>
        </w:tc>
        <w:tc>
          <w:tcPr>
            <w:tcW w:type="dxa" w:w="2835"/>
          </w:tcPr>
          <w:sdt>
            <w:sdtPr>
              <w:alias w:val="Eccezione 4 — owner"/>
              <w:tag w:val="design.exceptions.4.owner"/>
            </w:sdtPr>
            <w:sdtContent>
              <w:p>
                <w:r>
                  <w:rPr>
                    <w:sz w:val="18"/>
                  </w:rPr>
                  <w:t>Responsabile Budget</w:t>
                </w:r>
              </w:p>
            </w:sdtContent>
          </w:sdt>
        </w:tc>
      </w:tr>
      <w:tr>
        <w:tc>
          <w:tcPr>
            <w:tcW w:type="dxa" w:w="3118"/>
          </w:tcPr>
          <w:sdt>
            <w:sdtPr>
              <w:alias w:val="Eccezione 5 — failure mode"/>
              <w:tag w:val="design.exceptions.5.failure"/>
            </w:sdtPr>
            <w:sdtContent>
              <w:p>
                <w:r>
                  <w:rPr>
                    <w:sz w:val="18"/>
                  </w:rPr>
                  <w:t>Timeout: approvazione o chiarimento non arrivati entro il timeout di fase (regola 10)</w:t>
                </w:r>
              </w:p>
            </w:sdtContent>
          </w:sdt>
        </w:tc>
        <w:tc>
          <w:tcPr>
            <w:tcW w:type="dxa" w:w="3118"/>
          </w:tcPr>
          <w:sdt>
            <w:sdtPr>
              <w:alias w:val="Eccezione 5 — fallback"/>
              <w:tag w:val="design.exceptions.5.fallback"/>
            </w:sdtPr>
            <w:sdtContent>
              <w:p>
                <w:r>
                  <w:rPr>
                    <w:sz w:val="18"/>
                  </w:rPr>
                  <w:t>Caso sospeso e assegnato all'owner della dipendenza, mai chiuso come riuscito; se una fonte cambia dopo la proposta il caso torna a valutazione e gli effetti già prodotti si verificano o compensano (regola 9)</w:t>
                </w:r>
              </w:p>
            </w:sdtContent>
          </w:sdt>
        </w:tc>
        <w:tc>
          <w:tcPr>
            <w:tcW w:type="dxa" w:w="2835"/>
          </w:tcPr>
          <w:sdt>
            <w:sdtPr>
              <w:alias w:val="Eccezione 5 — owner"/>
              <w:tag w:val="design.exceptions.5.owner"/>
            </w:sdtPr>
            <w:sdtContent>
              <w:p>
                <w:r>
                  <w:rPr>
                    <w:sz w:val="18"/>
                  </w:rPr>
                  <w:t>Owner della dipendenza: Responsabile Budget o Direzione Programmi</w:t>
                </w:r>
              </w:p>
            </w:sdtContent>
          </w:sdt>
        </w:tc>
      </w:tr>
    </w:tbl>
    <w:p>
      <w:r>
        <w:br w:type="page"/>
      </w:r>
    </w:p>
    <w:p>
      <w:pPr>
        <w:spacing w:before="280" w:after="80"/>
        <w:pBdr>
          <w:bottom w:val="single" w:sz="6" w:space="1" w:color="1A1A2E"/>
        </w:pBdr>
      </w:pPr>
      <w:r>
        <w:rPr>
          <w:b/>
          <w:color w:val="1A1A2E"/>
          <w:sz w:val="26"/>
        </w:rPr>
        <w:t>3. WORKFLOW DIAGRAM — STATI E GATE</w:t>
      </w:r>
    </w:p>
    <w:p>
      <w:pPr>
        <w:spacing w:before="40" w:after="80"/>
      </w:pPr>
      <w:r>
        <w:rPr>
          <w:i/>
          <w:color w:val="666666"/>
          <w:sz w:val="16"/>
        </w:rPr>
        <w:t>Per ogni stato: da dove arriva (input), cosa produce (output), quando transisce (transizione), che cosa succede al processo se fallisce (errore). Nomina l'hard stop.</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984"/>
            <w:shd w:val="clear" w:color="auto" w:fill="1A1A2E"/>
          </w:tcPr>
          <w:p>
            <w:r>
              <w:rPr>
                <w:b/>
                <w:color w:val="FFFFFF"/>
                <w:sz w:val="16"/>
              </w:rPr>
              <w:t>Stato</w:t>
            </w:r>
          </w:p>
        </w:tc>
        <w:tc>
          <w:tcPr>
            <w:tcW w:type="dxa" w:w="1701"/>
            <w:shd w:val="clear" w:color="auto" w:fill="1A1A2E"/>
          </w:tcPr>
          <w:p>
            <w:r>
              <w:rPr>
                <w:b/>
                <w:color w:val="FFFFFF"/>
                <w:sz w:val="16"/>
              </w:rPr>
              <w:t>Input / precondizione</w:t>
            </w:r>
          </w:p>
        </w:tc>
        <w:tc>
          <w:tcPr>
            <w:tcW w:type="dxa" w:w="1984"/>
            <w:shd w:val="clear" w:color="auto" w:fill="1A1A2E"/>
          </w:tcPr>
          <w:p>
            <w:r>
              <w:rPr>
                <w:b/>
                <w:color w:val="FFFFFF"/>
                <w:sz w:val="16"/>
              </w:rPr>
              <w:t>Output / gate PASS</w:t>
            </w:r>
          </w:p>
        </w:tc>
        <w:tc>
          <w:tcPr>
            <w:tcW w:type="dxa" w:w="1984"/>
            <w:shd w:val="clear" w:color="auto" w:fill="1A1A2E"/>
          </w:tcPr>
          <w:p>
            <w:r>
              <w:rPr>
                <w:b/>
                <w:color w:val="FFFFFF"/>
                <w:sz w:val="16"/>
              </w:rPr>
              <w:t>Transizione</w:t>
            </w:r>
          </w:p>
        </w:tc>
        <w:tc>
          <w:tcPr>
            <w:tcW w:type="dxa" w:w="1417"/>
            <w:shd w:val="clear" w:color="auto" w:fill="1A1A2E"/>
          </w:tcPr>
          <w:p>
            <w:r>
              <w:rPr>
                <w:b/>
                <w:color w:val="FFFFFF"/>
                <w:sz w:val="16"/>
              </w:rPr>
              <w:t>Errore / gate FAIL</w:t>
            </w:r>
          </w:p>
        </w:tc>
      </w:tr>
      <w:tr>
        <w:tc>
          <w:tcPr>
            <w:tcW w:type="dxa" w:w="1984"/>
          </w:tcPr>
          <w:sdt>
            <w:sdtPr>
              <w:alias w:val="Stato 1"/>
              <w:tag w:val="design.states.1.state"/>
            </w:sdtPr>
            <w:sdtContent>
              <w:p>
                <w:r>
                  <w:rPr>
                    <w:sz w:val="18"/>
                  </w:rPr>
                  <w:t>RECEIVED</w:t>
                </w:r>
              </w:p>
            </w:sdtContent>
          </w:sdt>
        </w:tc>
        <w:tc>
          <w:tcPr>
            <w:tcW w:type="dxa" w:w="1701"/>
          </w:tcPr>
          <w:sdt>
            <w:sdtPr>
              <w:alias w:val="Stato 1 — input"/>
              <w:tag w:val="design.states.1.input"/>
            </w:sdtPr>
            <w:sdtContent>
              <w:p>
                <w:r>
                  <w:rPr>
                    <w:sz w:val="18"/>
                  </w:rPr>
                  <w:t>Email di richiesta (.eml)</w:t>
                </w:r>
              </w:p>
            </w:sdtContent>
          </w:sdt>
        </w:tc>
        <w:tc>
          <w:tcPr>
            <w:tcW w:type="dxa" w:w="1984"/>
          </w:tcPr>
          <w:sdt>
            <w:sdtPr>
              <w:alias w:val="Stato 1 — output"/>
              <w:tag w:val="design.states.1.output"/>
            </w:sdtPr>
            <w:sdtContent>
              <w:p>
                <w:r>
                  <w:rPr>
                    <w:sz w:val="18"/>
                  </w:rPr>
                  <w:t>Richiesta acquisita: mittente, oggetto, Message-ID, References, X-Caso, X-Allegato, testo</w:t>
                </w:r>
              </w:p>
            </w:sdtContent>
          </w:sdt>
        </w:tc>
        <w:tc>
          <w:tcPr>
            <w:tcW w:type="dxa" w:w="1984"/>
          </w:tcPr>
          <w:sdt>
            <w:sdtPr>
              <w:alias w:val="Stato 1 — transizione"/>
              <w:tag w:val="design.states.1.transition"/>
            </w:sdtPr>
            <w:sdtContent>
              <w:p>
                <w:r>
                  <w:rPr>
                    <w:sz w:val="18"/>
                  </w:rPr>
                  <w:t>→ FIELDS_EXTRACTED</w:t>
                </w:r>
              </w:p>
            </w:sdtContent>
          </w:sdt>
        </w:tc>
        <w:tc>
          <w:tcPr>
            <w:tcW w:type="dxa" w:w="1417"/>
          </w:tcPr>
          <w:sdt>
            <w:sdtPr>
              <w:alias w:val="Stato 1 — errore"/>
              <w:tag w:val="design.states.1.error"/>
            </w:sdtPr>
            <w:sdtContent>
              <w:p>
                <w:r>
                  <w:rPr>
                    <w:sz w:val="18"/>
                  </w:rPr>
                  <w:t>Email illeggibile o senza Message-ID → resta RECEIVED, NEEDS_INPUT alla Segreteria</w:t>
                </w:r>
              </w:p>
            </w:sdtContent>
          </w:sdt>
        </w:tc>
      </w:tr>
      <w:tr>
        <w:tc>
          <w:tcPr>
            <w:tcW w:type="dxa" w:w="1984"/>
          </w:tcPr>
          <w:sdt>
            <w:sdtPr>
              <w:alias w:val="Stato 2"/>
              <w:tag w:val="design.states.2.state"/>
            </w:sdtPr>
            <w:sdtContent>
              <w:p>
                <w:r>
                  <w:rPr>
                    <w:sz w:val="18"/>
                  </w:rPr>
                  <w:t>FIELDS_EXTRACTED</w:t>
                </w:r>
              </w:p>
            </w:sdtContent>
          </w:sdt>
        </w:tc>
        <w:tc>
          <w:tcPr>
            <w:tcW w:type="dxa" w:w="1701"/>
          </w:tcPr>
          <w:sdt>
            <w:sdtPr>
              <w:alias w:val="Stato 2 — input"/>
              <w:tag w:val="design.states.2.input"/>
            </w:sdtPr>
            <w:sdtContent>
              <w:p>
                <w:r>
                  <w:rPr>
                    <w:sz w:val="18"/>
                  </w:rPr>
                  <w:t>Testo dell'email, dato non fidato</w:t>
                </w:r>
              </w:p>
            </w:sdtContent>
          </w:sdt>
        </w:tc>
        <w:tc>
          <w:tcPr>
            <w:tcW w:type="dxa" w:w="1984"/>
          </w:tcPr>
          <w:sdt>
            <w:sdtPr>
              <w:alias w:val="Stato 2 — output"/>
              <w:tag w:val="design.states.2.output"/>
            </w:sdtPr>
            <w:sdtContent>
              <w:p>
                <w:r>
                  <w:rPr>
                    <w:sz w:val="18"/>
                  </w:rPr>
                  <w:t>Campi proposti: titolo, durata, finestra e slot del docente, numerosità, modalità, sede, servizi, docente interno o esterno; ogni campo con la frase da cui viene</w:t>
                </w:r>
              </w:p>
            </w:sdtContent>
          </w:sdt>
        </w:tc>
        <w:tc>
          <w:tcPr>
            <w:tcW w:type="dxa" w:w="1984"/>
          </w:tcPr>
          <w:sdt>
            <w:sdtPr>
              <w:alias w:val="Stato 2 — transizione"/>
              <w:tag w:val="design.states.2.transition"/>
            </w:sdtPr>
            <w:sdtContent>
              <w:p>
                <w:r>
                  <w:rPr>
                    <w:sz w:val="18"/>
                  </w:rPr>
                  <w:t>→ DEDUPED</w:t>
                </w:r>
              </w:p>
            </w:sdtContent>
          </w:sdt>
        </w:tc>
        <w:tc>
          <w:tcPr>
            <w:tcW w:type="dxa" w:w="1417"/>
          </w:tcPr>
          <w:sdt>
            <w:sdtPr>
              <w:alias w:val="Stato 2 — errore"/>
              <w:tag w:val="design.states.2.error"/>
            </w:sdtPr>
            <w:sdtContent>
              <w:p>
                <w:r>
                  <w:rPr>
                    <w:sz w:val="18"/>
                  </w:rPr>
                  <w:t>Campo senza frase di origine → resta vuoto, non si inventa</w:t>
                </w:r>
              </w:p>
            </w:sdtContent>
          </w:sdt>
        </w:tc>
      </w:tr>
      <w:tr>
        <w:tc>
          <w:tcPr>
            <w:tcW w:type="dxa" w:w="1984"/>
          </w:tcPr>
          <w:sdt>
            <w:sdtPr>
              <w:alias w:val="Stato 3"/>
              <w:tag w:val="design.states.3.state"/>
            </w:sdtPr>
            <w:sdtContent>
              <w:p>
                <w:r>
                  <w:rPr>
                    <w:sz w:val="18"/>
                  </w:rPr>
                  <w:t>DEDUPED</w:t>
                </w:r>
              </w:p>
            </w:sdtContent>
          </w:sdt>
        </w:tc>
        <w:tc>
          <w:tcPr>
            <w:tcW w:type="dxa" w:w="1701"/>
          </w:tcPr>
          <w:sdt>
            <w:sdtPr>
              <w:alias w:val="Stato 3 — input"/>
              <w:tag w:val="design.states.3.input"/>
            </w:sdtPr>
            <w:sdtContent>
              <w:p>
                <w:r>
                  <w:rPr>
                    <w:sz w:val="18"/>
                  </w:rPr>
                  <w:t>Message-ID, References e In-Reply-To + casi aperti (casi.json)</w:t>
                </w:r>
              </w:p>
            </w:sdtContent>
          </w:sdt>
        </w:tc>
        <w:tc>
          <w:tcPr>
            <w:tcW w:type="dxa" w:w="1984"/>
          </w:tcPr>
          <w:sdt>
            <w:sdtPr>
              <w:alias w:val="Stato 3 — output"/>
              <w:tag w:val="design.states.3.output"/>
            </w:sdtPr>
            <w:sdtContent>
              <w:p>
                <w:r>
                  <w:rPr>
                    <w:sz w:val="18"/>
                  </w:rPr>
                  <w:t>Gate deduplica PASS: nessun caso aperto con la stessa chiave; nuovo caso con il case_id di X-Caso</w:t>
                </w:r>
              </w:p>
            </w:sdtContent>
          </w:sdt>
        </w:tc>
        <w:tc>
          <w:tcPr>
            <w:tcW w:type="dxa" w:w="1984"/>
          </w:tcPr>
          <w:sdt>
            <w:sdtPr>
              <w:alias w:val="Stato 3 — transizione"/>
              <w:tag w:val="design.states.3.transition"/>
            </w:sdtPr>
            <w:sdtContent>
              <w:p>
                <w:r>
                  <w:rPr>
                    <w:sz w:val="18"/>
                  </w:rPr>
                  <w:t>→ COMPLETE</w:t>
                </w:r>
              </w:p>
            </w:sdtContent>
          </w:sdt>
        </w:tc>
        <w:tc>
          <w:tcPr>
            <w:tcW w:type="dxa" w:w="1417"/>
          </w:tcPr>
          <w:sdt>
            <w:sdtPr>
              <w:alias w:val="Stato 3 — errore"/>
              <w:tag w:val="design.states.3.error"/>
            </w:sdtPr>
            <w:sdtContent>
              <w:p>
                <w:r>
                  <w:rPr>
                    <w:sz w:val="18"/>
                  </w:rPr>
                  <w:t>Message-ID già visto, o References o In-Reply-To che citano un caso aperto → collegata al caso esistente; stop, nessun caso nuovo e nessun effetto</w:t>
                </w:r>
              </w:p>
            </w:sdtContent>
          </w:sdt>
        </w:tc>
      </w:tr>
      <w:tr>
        <w:tc>
          <w:tcPr>
            <w:tcW w:type="dxa" w:w="1984"/>
          </w:tcPr>
          <w:sdt>
            <w:sdtPr>
              <w:alias w:val="Stato 4"/>
              <w:tag w:val="design.states.4.state"/>
            </w:sdtPr>
            <w:sdtContent>
              <w:p>
                <w:r>
                  <w:rPr>
                    <w:sz w:val="18"/>
                  </w:rPr>
                  <w:t>COMPLETE</w:t>
                </w:r>
              </w:p>
            </w:sdtContent>
          </w:sdt>
        </w:tc>
        <w:tc>
          <w:tcPr>
            <w:tcW w:type="dxa" w:w="1701"/>
          </w:tcPr>
          <w:sdt>
            <w:sdtPr>
              <w:alias w:val="Stato 4 — input"/>
              <w:tag w:val="design.states.4.input"/>
            </w:sdtPr>
            <w:sdtContent>
              <w:p>
                <w:r>
                  <w:rPr>
                    <w:sz w:val="18"/>
                  </w:rPr>
                  <w:t>Campi estratti + CSV del caso (X-Allegato)</w:t>
                </w:r>
              </w:p>
            </w:sdtContent>
          </w:sdt>
        </w:tc>
        <w:tc>
          <w:tcPr>
            <w:tcW w:type="dxa" w:w="1984"/>
          </w:tcPr>
          <w:sdt>
            <w:sdtPr>
              <w:alias w:val="Stato 4 — output"/>
              <w:tag w:val="design.states.4.output"/>
            </w:sdtPr>
            <w:sdtContent>
              <w:p>
                <w:r>
                  <w:rPr>
                    <w:sz w:val="18"/>
                  </w:rPr>
                  <w:t>Gate completezza PASS: sponsor (chi firma), titolo, durata, finestra, numerosità (righe del CSV), modalità del workshop e owner (la Segreteria destinataria) presenti, come da regola 1. Le modalità mancanti dei singoli partecipanti non bloccano: contano nel gate sala e si chiariscono prima della conferma finale (regola 3)</w:t>
                </w:r>
              </w:p>
            </w:sdtContent>
          </w:sdt>
        </w:tc>
        <w:tc>
          <w:tcPr>
            <w:tcW w:type="dxa" w:w="1984"/>
          </w:tcPr>
          <w:sdt>
            <w:sdtPr>
              <w:alias w:val="Stato 4 — transizione"/>
              <w:tag w:val="design.states.4.transition"/>
            </w:sdtPr>
            <w:sdtContent>
              <w:p>
                <w:r>
                  <w:rPr>
                    <w:sz w:val="18"/>
                  </w:rPr>
                  <w:t>→ VENUE_CONFIRMED</w:t>
                </w:r>
              </w:p>
            </w:sdtContent>
          </w:sdt>
        </w:tc>
        <w:tc>
          <w:tcPr>
            <w:tcW w:type="dxa" w:w="1417"/>
          </w:tcPr>
          <w:sdt>
            <w:sdtPr>
              <w:alias w:val="Stato 4 — errore"/>
              <w:tag w:val="design.states.4.error"/>
            </w:sdtPr>
            <w:sdtContent>
              <w:p>
                <w:r>
                  <w:rPr>
                    <w:sz w:val="18"/>
                  </w:rPr>
                  <w:t>Campo mancante → NEEDS_INPUT con owner Direzione Programmi</w:t>
                </w:r>
              </w:p>
            </w:sdtContent>
          </w:sdt>
        </w:tc>
      </w:tr>
      <w:tr>
        <w:tc>
          <w:tcPr>
            <w:tcW w:type="dxa" w:w="1984"/>
          </w:tcPr>
          <w:sdt>
            <w:sdtPr>
              <w:alias w:val="Stato 5"/>
              <w:tag w:val="design.states.5.state"/>
            </w:sdtPr>
            <w:sdtContent>
              <w:p>
                <w:r>
                  <w:rPr>
                    <w:sz w:val="18"/>
                  </w:rPr>
                  <w:t>VENUE_CONFIRMED</w:t>
                </w:r>
              </w:p>
            </w:sdtContent>
          </w:sdt>
        </w:tc>
        <w:tc>
          <w:tcPr>
            <w:tcW w:type="dxa" w:w="1701"/>
          </w:tcPr>
          <w:sdt>
            <w:sdtPr>
              <w:alias w:val="Stato 5 — input"/>
              <w:tag w:val="design.states.5.input"/>
            </w:sdtPr>
            <w:sdtContent>
              <w:p>
                <w:r>
                  <w:rPr>
                    <w:sz w:val="18"/>
                  </w:rPr>
                  <w:t>Snapshot sale + CSV + slot del docente</w:t>
                </w:r>
              </w:p>
            </w:sdtContent>
          </w:sdt>
        </w:tc>
        <w:tc>
          <w:tcPr>
            <w:tcW w:type="dxa" w:w="1984"/>
          </w:tcPr>
          <w:sdt>
            <w:sdtPr>
              <w:alias w:val="Stato 5 — output"/>
              <w:tag w:val="design.states.5.output"/>
            </w:sdtPr>
            <w:sdtContent>
              <w:p>
                <w:r>
                  <w:rPr>
                    <w:sz w:val="18"/>
                  </w:rPr>
                  <w:t>Gate sala PASS: per ogni slot del docente, partecipanti disponibili almeno 80% (regola 3); posti nel caso peggiore = tutte le righe del CSV in presenza o con modalità mancante, anche chi non è disponibile in quello slot (la disponibilità serve solo alla soglia dell'80%); il workshop è ibrido se una riga è da remoto o l'email chiede il collegamento, e allora vale la capienza ibrida (regola 2), altrimenti la nominale; sala libera nello slot. Fra le opzioni valide: la sala più piccola, poi lo slot più vicino</w:t>
                </w:r>
              </w:p>
            </w:sdtContent>
          </w:sdt>
        </w:tc>
        <w:tc>
          <w:tcPr>
            <w:tcW w:type="dxa" w:w="1984"/>
          </w:tcPr>
          <w:sdt>
            <w:sdtPr>
              <w:alias w:val="Stato 5 — transizione"/>
              <w:tag w:val="design.states.5.transition"/>
            </w:sdtPr>
            <w:sdtContent>
              <w:p>
                <w:r>
                  <w:rPr>
                    <w:sz w:val="18"/>
                  </w:rPr>
                  <w:t>→ WAITING_FOR_APPROVAL se la stima supera 500 unità, altrimenti → READY_TO_ACTIVATE</w:t>
                </w:r>
              </w:p>
            </w:sdtContent>
          </w:sdt>
        </w:tc>
        <w:tc>
          <w:tcPr>
            <w:tcW w:type="dxa" w:w="1417"/>
          </w:tcPr>
          <w:sdt>
            <w:sdtPr>
              <w:alias w:val="Stato 5 — errore"/>
              <w:tag w:val="design.states.5.error"/>
            </w:sdtPr>
            <w:sdtContent>
              <w:p>
                <w:r>
                  <w:rPr>
                    <w:sz w:val="18"/>
                  </w:rPr>
                  <w:t>Nessuna sala compatibile → NEEDS_VENUE con l'alternativa più vicina; escalation al Referente Sede</w:t>
                </w:r>
              </w:p>
            </w:sdtContent>
          </w:sdt>
        </w:tc>
      </w:tr>
      <w:tr>
        <w:tc>
          <w:tcPr>
            <w:tcW w:type="dxa" w:w="1984"/>
          </w:tcPr>
          <w:sdt>
            <w:sdtPr>
              <w:alias w:val="Stato 6"/>
              <w:tag w:val="design.states.6.state"/>
            </w:sdtPr>
            <w:sdtContent>
              <w:p>
                <w:r>
                  <w:rPr>
                    <w:sz w:val="18"/>
                  </w:rPr>
                  <w:t>WAITING_FOR_APPROVAL</w:t>
                </w:r>
              </w:p>
            </w:sdtContent>
          </w:sdt>
        </w:tc>
        <w:tc>
          <w:tcPr>
            <w:tcW w:type="dxa" w:w="1701"/>
          </w:tcPr>
          <w:sdt>
            <w:sdtPr>
              <w:alias w:val="Stato 6 — input"/>
              <w:tag w:val="design.states.6.input"/>
            </w:sdtPr>
            <w:sdtContent>
              <w:p>
                <w:r>
                  <w:rPr>
                    <w:sz w:val="18"/>
                  </w:rPr>
                  <w:t>Stima di spesa oltre 500 unità (regola 5)</w:t>
                </w:r>
              </w:p>
            </w:sdtContent>
          </w:sdt>
        </w:tc>
        <w:tc>
          <w:tcPr>
            <w:tcW w:type="dxa" w:w="1984"/>
          </w:tcPr>
          <w:sdt>
            <w:sdtPr>
              <w:alias w:val="Stato 6 — output"/>
              <w:tag w:val="design.states.6.output"/>
            </w:sdtPr>
            <w:sdtContent>
              <w:p>
                <w:r>
                  <w:rPr>
                    <w:sz w:val="18"/>
                  </w:rPr>
                  <w:t>Una sola richiesta di approvazione al Responsabile Budget, con stima e motivazione</w:t>
                </w:r>
              </w:p>
            </w:sdtContent>
          </w:sdt>
        </w:tc>
        <w:tc>
          <w:tcPr>
            <w:tcW w:type="dxa" w:w="1984"/>
          </w:tcPr>
          <w:sdt>
            <w:sdtPr>
              <w:alias w:val="Stato 6 — transizione"/>
              <w:tag w:val="design.states.6.transition"/>
            </w:sdtPr>
            <w:sdtContent>
              <w:p>
                <w:r>
                  <w:rPr>
                    <w:sz w:val="18"/>
                  </w:rPr>
                  <w:t>→ READY_TO_ACTIVATE solo con approvazione formale registrata</w:t>
                </w:r>
              </w:p>
            </w:sdtContent>
          </w:sdt>
        </w:tc>
        <w:tc>
          <w:tcPr>
            <w:tcW w:type="dxa" w:w="1417"/>
          </w:tcPr>
          <w:sdt>
            <w:sdtPr>
              <w:alias w:val="Stato 6 — errore"/>
              <w:tag w:val="design.states.6.error"/>
            </w:sdtPr>
            <w:sdtContent>
              <w:p>
                <w:r>
                  <w:rPr>
                    <w:sz w:val="18"/>
                  </w:rPr>
                  <w:t>HARD STOP: nessun invito né prenotazione definitiva; timeout → caso sospeso con owner (regola 10)</w:t>
                </w:r>
              </w:p>
            </w:sdtContent>
          </w:sdt>
        </w:tc>
      </w:tr>
      <w:tr>
        <w:tc>
          <w:tcPr>
            <w:tcW w:type="dxa" w:w="1984"/>
          </w:tcPr>
          <w:sdt>
            <w:sdtPr>
              <w:alias w:val="Stato 7"/>
              <w:tag w:val="design.states.7.state"/>
            </w:sdtPr>
            <w:sdtContent>
              <w:p>
                <w:r>
                  <w:rPr>
                    <w:sz w:val="18"/>
                  </w:rPr>
                  <w:t>READY_TO_ACTIVATE</w:t>
                </w:r>
              </w:p>
            </w:sdtContent>
          </w:sdt>
        </w:tc>
        <w:tc>
          <w:tcPr>
            <w:tcW w:type="dxa" w:w="1701"/>
          </w:tcPr>
          <w:sdt>
            <w:sdtPr>
              <w:alias w:val="Stato 7 — input"/>
              <w:tag w:val="design.states.7.input"/>
            </w:sdtPr>
            <w:sdtContent>
              <w:p>
                <w:r>
                  <w:rPr>
                    <w:sz w:val="18"/>
                  </w:rPr>
                  <w:t>Tutti i gate superati; approvazione registrata se serviva</w:t>
                </w:r>
              </w:p>
            </w:sdtContent>
          </w:sdt>
        </w:tc>
        <w:tc>
          <w:tcPr>
            <w:tcW w:type="dxa" w:w="1984"/>
          </w:tcPr>
          <w:sdt>
            <w:sdtPr>
              <w:alias w:val="Stato 7 — output"/>
              <w:tag w:val="design.states.7.output"/>
            </w:sdtPr>
            <w:sdtContent>
              <w:p>
                <w:r>
                  <w:rPr>
                    <w:sz w:val="18"/>
                  </w:rPr>
                  <w:t>Proposta di attivazione: sala, data, stima, trace dei gate</w:t>
                </w:r>
              </w:p>
            </w:sdtContent>
          </w:sdt>
        </w:tc>
        <w:tc>
          <w:tcPr>
            <w:tcW w:type="dxa" w:w="1984"/>
          </w:tcPr>
          <w:sdt>
            <w:sdtPr>
              <w:alias w:val="Stato 7 — transizione"/>
              <w:tag w:val="design.states.7.transition"/>
            </w:sdtPr>
            <w:sdtContent>
              <w:p>
                <w:r>
                  <w:rPr>
                    <w:sz w:val="18"/>
                  </w:rPr>
                  <w:t>Fine del workflow; inviti e prenotazione sono effetti successivi e qui non si producono</w:t>
                </w:r>
              </w:p>
            </w:sdtContent>
          </w:sdt>
        </w:tc>
        <w:tc>
          <w:tcPr>
            <w:tcW w:type="dxa" w:w="1417"/>
          </w:tcPr>
          <w:sdt>
            <w:sdtPr>
              <w:alias w:val="Stato 7 — errore"/>
              <w:tag w:val="design.states.7.error"/>
            </w:sdtPr>
            <w:sdtContent>
              <w:p>
                <w:r>
                  <w:rPr>
                    <w:sz w:val="18"/>
                  </w:rPr>
                  <w:t>Fonte cambiata dopo la proposta → ritorno a valutazione (regola 9)</w:t>
                </w:r>
              </w:p>
            </w:sdtContent>
          </w:sdt>
        </w:tc>
      </w:tr>
    </w:tbl>
    <w:p>
      <w:pPr>
        <w:spacing w:before="160" w:after="40"/>
      </w:pPr>
      <w:r>
        <w:rPr>
          <w:b/>
          <w:color w:val="2B4590"/>
          <w:sz w:val="20"/>
        </w:rPr>
        <w:t>Identificativi automatici</w:t>
      </w:r>
    </w:p>
    <w:p>
      <w:pPr>
        <w:spacing w:before="40" w:after="80"/>
      </w:pPr>
      <w:r>
        <w:rPr>
          <w:i/>
          <w:color w:val="666666"/>
          <w:sz w:val="16"/>
        </w:rPr>
        <w:t>Come si generano gli ID del caso e dell'esecuzione, con quale chiave si riconosce lo stesso caso arrivato due volte (deduplica) e come si evita di ripetere un effetto già prodotto (idempotenza).</w:t>
      </w:r>
    </w:p>
    <w:sdt>
      <w:sdtPr>
        <w:alias w:val="Identificativi automatici"/>
        <w:tag w:val="design.states.automatic_identifiers"/>
      </w:sdtPr>
      <w:sdtContent>
        <w:p>
          <w:r>
            <w:rPr>
              <w:sz w:val="20"/>
            </w:rPr>
            <w:t>case_id: il codice WS-NNN dell'intestazione X-Caso, apposto dalla Segreteria alla ricezione; un reinvio o una risposta senza X-Caso prende il case_id del messaggio che cita. Chiave di deduplica: il Message-ID, più References e In-Reply-To che rimandano a un Message-ID già visto; una richiesta con lo stesso X-Caso di un caso aperto è collegata a quel caso. Senza Message-ID la richiesta resta in RECEIVED. Idempotenza: la richiesta di approvazione e ogni effetto simulato hanno chiave case_id + tipo di effetto, quindi un reinvio non ne produce un secondo (regola 8).</w:t>
          </w:r>
        </w:p>
      </w:sdtContent>
    </w:sdt>
    <w:p>
      <w:pPr>
        <w:spacing w:before="160" w:after="40"/>
      </w:pPr>
      <w:r>
        <w:rPr>
          <w:b/>
          <w:color w:val="2B4590"/>
          <w:sz w:val="20"/>
        </w:rPr>
        <w:t>Alternativa scartata e motivo</w:t>
      </w:r>
      <w:r>
        <w:rPr>
          <w:color w:val="777777"/>
          <w:sz w:val="16"/>
        </w:rPr>
        <w:t xml:space="preserve">  [non congelato]</w:t>
      </w:r>
    </w:p>
    <w:p>
      <w:pPr>
        <w:spacing w:before="40" w:after="80"/>
      </w:pPr>
      <w:r>
        <w:rPr>
          <w:i/>
          <w:color w:val="666666"/>
          <w:sz w:val="16"/>
        </w:rPr>
        <w:t>Un'altra soluzione praticabile che hai considerato, anche lasciare manuale una parte, e il criterio per cui l'hai scartata.</w:t>
      </w:r>
    </w:p>
    <w:sdt>
      <w:sdtPr>
        <w:alias w:val="Alternativa scartata e motivo"/>
        <w:tag w:val="lab_record.solution.alternative"/>
      </w:sdtPr>
      <w:sdtContent>
        <w:p>
          <w:r>
            <w:rPr>
              <w:sz w:val="20"/>
            </w:rPr>
            <w:t>Opzione B del caso: eventi con uno state store e consumer separati. Scartata per ora: il volume è modesto e la Segreteria deve vedere lo stato di un caso in un punto solo; un orchestratore con stato esplicito è più leggibile.</w:t>
          </w:r>
        </w:p>
      </w:sdtContent>
    </w:sdt>
    <w:p>
      <w:pPr>
        <w:spacing w:before="160" w:after="40"/>
      </w:pPr>
      <w:r>
        <w:rPr>
          <w:b/>
          <w:color w:val="2B4590"/>
          <w:sz w:val="20"/>
        </w:rPr>
        <w:t>Fatto che farebbe cambiare scelta</w:t>
      </w:r>
      <w:r>
        <w:rPr>
          <w:color w:val="777777"/>
          <w:sz w:val="16"/>
        </w:rPr>
        <w:t xml:space="preserve">  [non congelato]</w:t>
      </w:r>
    </w:p>
    <w:p>
      <w:pPr>
        <w:spacing w:before="40" w:after="80"/>
      </w:pPr>
      <w:r>
        <w:rPr>
          <w:i/>
          <w:color w:val="666666"/>
          <w:sz w:val="16"/>
        </w:rPr>
        <w:t>Quale fatto osservabile ti farebbe riaprire la scelta. I rischi che restano dopo i controlli vanno nel diario, sezione 8.</w:t>
      </w:r>
    </w:p>
    <w:sdt>
      <w:sdtPr>
        <w:alias w:val="Fatto che farebbe cambiare scelta"/>
        <w:tag w:val="lab_record.solution.revisit_trigger"/>
      </w:sdtPr>
      <w:sdtContent>
        <w:p>
          <w:r>
            <w:rPr>
              <w:sz w:val="20"/>
            </w:rPr>
            <w:t>Se le fonti diventassero più di quattro o altri processi dovessero reagire agli stessi eventi, per esempio registro e calendario aggiornati da sistemi diversi, la scelta dell'orchestratore unico andrebbe riaperta.</w:t>
          </w:r>
        </w:p>
      </w:sdtContent>
    </w:sdt>
    <w:p>
      <w:r>
        <w:br w:type="page"/>
      </w:r>
    </w:p>
    <w:p>
      <w:pPr>
        <w:spacing w:before="280" w:after="80"/>
        <w:pBdr>
          <w:bottom w:val="single" w:sz="6" w:space="1" w:color="1A1A2E"/>
        </w:pBdr>
      </w:pPr>
      <w:r>
        <w:rPr>
          <w:b/>
          <w:color w:val="1A1A2E"/>
          <w:sz w:val="26"/>
        </w:rPr>
        <w:t>4. RELATIONS DIAGRAM — FONTI E DECISIONI</w:t>
      </w:r>
    </w:p>
    <w:p>
      <w:pPr>
        <w:spacing w:before="40" w:after="80"/>
      </w:pPr>
      <w:r>
        <w:rPr>
          <w:i/>
          <w:color w:val="666666"/>
          <w:sz w:val="16"/>
        </w:rPr>
        <w:t>Come il workflow produce evidenza, raccomandazione, autorizzazione e trace. Sezione 4a: quali fonti e con quale autorità; sezione 4b: chi decide che cosa; sezione 4c: che cosa il workflow può fare.</w:t>
      </w:r>
    </w:p>
    <w:p>
      <w:pPr>
        <w:spacing w:before="160" w:after="40"/>
      </w:pPr>
      <w:r>
        <w:rPr>
          <w:b/>
          <w:color w:val="2B4590"/>
          <w:sz w:val="20"/>
        </w:rPr>
        <w:t>4a. Authority map — fonti</w:t>
      </w:r>
    </w:p>
    <w:p>
      <w:pPr>
        <w:spacing w:before="40" w:after="80"/>
      </w:pPr>
      <w:r>
        <w:rPr>
          <w:i/>
          <w:color w:val="666666"/>
          <w:sz w:val="16"/>
        </w:rPr>
        <w:t>Per ogni fonte: cosa può confermare, chi ha autorità su quel claim, entro quali limiti, quanto a lungo è valida.</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701"/>
            <w:shd w:val="clear" w:color="auto" w:fill="2B4590"/>
          </w:tcPr>
          <w:p>
            <w:r>
              <w:rPr>
                <w:b/>
                <w:color w:val="FFFFFF"/>
                <w:sz w:val="16"/>
              </w:rPr>
              <w:t>Tipo fonte</w:t>
            </w:r>
          </w:p>
        </w:tc>
        <w:tc>
          <w:tcPr>
            <w:tcW w:type="dxa" w:w="2268"/>
            <w:shd w:val="clear" w:color="auto" w:fill="2B4590"/>
          </w:tcPr>
          <w:p>
            <w:r>
              <w:rPr>
                <w:b/>
                <w:color w:val="FFFFFF"/>
                <w:sz w:val="16"/>
              </w:rPr>
              <w:t>Fatti che conferma</w:t>
            </w:r>
          </w:p>
        </w:tc>
        <w:tc>
          <w:tcPr>
            <w:tcW w:type="dxa" w:w="1984"/>
            <w:shd w:val="clear" w:color="auto" w:fill="2B4590"/>
          </w:tcPr>
          <w:p>
            <w:r>
              <w:rPr>
                <w:b/>
                <w:color w:val="FFFFFF"/>
                <w:sz w:val="16"/>
              </w:rPr>
              <w:t>Autorità per claim</w:t>
            </w:r>
          </w:p>
        </w:tc>
        <w:tc>
          <w:tcPr>
            <w:tcW w:type="dxa" w:w="1984"/>
            <w:shd w:val="clear" w:color="auto" w:fill="2B4590"/>
          </w:tcPr>
          <w:p>
            <w:r>
              <w:rPr>
                <w:b/>
                <w:color w:val="FFFFFF"/>
                <w:sz w:val="16"/>
              </w:rPr>
              <w:t>Limiti</w:t>
            </w:r>
          </w:p>
        </w:tc>
        <w:tc>
          <w:tcPr>
            <w:tcW w:type="dxa" w:w="1134"/>
            <w:shd w:val="clear" w:color="auto" w:fill="2B4590"/>
          </w:tcPr>
          <w:p>
            <w:r>
              <w:rPr>
                <w:b/>
                <w:color w:val="FFFFFF"/>
                <w:sz w:val="16"/>
              </w:rPr>
              <w:t>Validità</w:t>
            </w:r>
          </w:p>
        </w:tc>
      </w:tr>
      <w:tr>
        <w:tc>
          <w:tcPr>
            <w:tcW w:type="dxa" w:w="1701"/>
          </w:tcPr>
          <w:sdt>
            <w:sdtPr>
              <w:alias w:val="Fonte 1 — tipo"/>
              <w:tag w:val="design.authority.sources.1.source_type"/>
            </w:sdtPr>
            <w:sdtContent>
              <w:p>
                <w:r>
                  <w:rPr>
                    <w:sz w:val="18"/>
                  </w:rPr>
                  <w:t>Email di richiesta (richieste/*.eml)</w:t>
                </w:r>
              </w:p>
            </w:sdtContent>
          </w:sdt>
        </w:tc>
        <w:tc>
          <w:tcPr>
            <w:tcW w:type="dxa" w:w="2268"/>
          </w:tcPr>
          <w:sdt>
            <w:sdtPr>
              <w:alias w:val="Fonte 1 — fatti"/>
              <w:tag w:val="design.authority.sources.1.facts"/>
            </w:sdtPr>
            <w:sdtContent>
              <w:p>
                <w:r>
                  <w:rPr>
                    <w:sz w:val="18"/>
                  </w:rPr>
                  <w:t>Che cosa si chiede: titolo, durata, finestra e slot del docente, servizi, docente interno o esterno. Intestazioni: Message-ID, References e In-Reply-To per la deduplica; X-Caso (codice WS-NNN apposto dalla Segreteria alla ricezione); X-Allegato (nome del CSV partecipanti in fonti/)</w:t>
                </w:r>
              </w:p>
            </w:sdtContent>
          </w:sdt>
        </w:tc>
        <w:tc>
          <w:tcPr>
            <w:tcW w:type="dxa" w:w="1984"/>
          </w:tcPr>
          <w:sdt>
            <w:sdtPr>
              <w:alias w:val="Fonte 1 — autorità"/>
              <w:tag w:val="design.authority.sources.1.authority"/>
            </w:sdtPr>
            <w:sdtContent>
              <w:p>
                <w:r>
                  <w:rPr>
                    <w:sz w:val="18"/>
                  </w:rPr>
                  <w:t>Direzione Programmi, solo per ciò che chiede; nessuna autorità su sale, capienze o approvazioni</w:t>
                </w:r>
              </w:p>
            </w:sdtContent>
          </w:sdt>
        </w:tc>
        <w:tc>
          <w:tcPr>
            <w:tcW w:type="dxa" w:w="1984"/>
          </w:tcPr>
          <w:sdt>
            <w:sdtPr>
              <w:alias w:val="Fonte 1 — limiti"/>
              <w:tag w:val="design.authority.sources.1.limits"/>
            </w:sdtPr>
            <w:sdtContent>
              <w:p>
                <w:r>
                  <w:rPr>
                    <w:sz w:val="18"/>
                  </w:rPr>
                  <w:t>Testo non fidato: può citare dati superati (Orione «da 22 posti» viene da un vecchio catalogo) e un'istruzione scritta nel testo non è una regola</w:t>
                </w:r>
              </w:p>
            </w:sdtContent>
          </w:sdt>
        </w:tc>
        <w:tc>
          <w:tcPr>
            <w:tcW w:type="dxa" w:w="1134"/>
          </w:tcPr>
          <w:sdt>
            <w:sdtPr>
              <w:alias w:val="Fonte 1 — validità"/>
              <w:tag w:val="design.authority.sources.1.validity"/>
            </w:sdtPr>
            <w:sdtContent>
              <w:p>
                <w:r>
                  <w:rPr>
                    <w:sz w:val="18"/>
                  </w:rPr>
                  <w:t>Al momento della ricezione</w:t>
                </w:r>
              </w:p>
            </w:sdtContent>
          </w:sdt>
        </w:tc>
      </w:tr>
      <w:tr>
        <w:tc>
          <w:tcPr>
            <w:tcW w:type="dxa" w:w="1701"/>
          </w:tcPr>
          <w:sdt>
            <w:sdtPr>
              <w:alias w:val="Fonte 2 — tipo"/>
              <w:tag w:val="design.authority.sources.2.source_type"/>
            </w:sdtPr>
            <w:sdtContent>
              <w:p>
                <w:r>
                  <w:rPr>
                    <w:sz w:val="18"/>
                  </w:rPr>
                  <w:t>CSV partecipanti (fonti/participants_*.csv)</w:t>
                </w:r>
              </w:p>
            </w:sdtContent>
          </w:sdt>
        </w:tc>
        <w:tc>
          <w:tcPr>
            <w:tcW w:type="dxa" w:w="2268"/>
          </w:tcPr>
          <w:sdt>
            <w:sdtPr>
              <w:alias w:val="Fonte 2 — fatti"/>
              <w:tag w:val="design.authority.sources.2.facts"/>
            </w:sdtPr>
            <w:sdtContent>
              <w:p>
                <w:r>
                  <w:rPr>
                    <w:sz w:val="18"/>
                  </w:rPr>
                  <w:t>Righe partecipante: sede, interno o esterno, disponibilità per slot (available_2026_10_13_pm, available_2026_10_15_am), modalità richiesta</w:t>
                </w:r>
              </w:p>
            </w:sdtContent>
          </w:sdt>
        </w:tc>
        <w:tc>
          <w:tcPr>
            <w:tcW w:type="dxa" w:w="1984"/>
          </w:tcPr>
          <w:sdt>
            <w:sdtPr>
              <w:alias w:val="Fonte 2 — autorità"/>
              <w:tag w:val="design.authority.sources.2.authority"/>
            </w:sdtPr>
            <w:sdtContent>
              <w:p>
                <w:r>
                  <w:rPr>
                    <w:sz w:val="18"/>
                  </w:rPr>
                  <w:t>Direzione Programmi, export allegato alla richiesta (per WS-024 quello del 2 settembre 2026)</w:t>
                </w:r>
              </w:p>
            </w:sdtContent>
          </w:sdt>
        </w:tc>
        <w:tc>
          <w:tcPr>
            <w:tcW w:type="dxa" w:w="1984"/>
          </w:tcPr>
          <w:sdt>
            <w:sdtPr>
              <w:alias w:val="Fonte 2 — limiti"/>
              <w:tag w:val="design.authority.sources.2.limits"/>
            </w:sdtPr>
            <w:sdtContent>
              <w:p>
                <w:r>
                  <w:rPr>
                    <w:sz w:val="18"/>
                  </w:rPr>
                  <w:t>Una modalità mancante non è una presenza confermata; esportazione statica, può non riflettere risposte tardive</w:t>
                </w:r>
              </w:p>
            </w:sdtContent>
          </w:sdt>
        </w:tc>
        <w:tc>
          <w:tcPr>
            <w:tcW w:type="dxa" w:w="1134"/>
          </w:tcPr>
          <w:sdt>
            <w:sdtPr>
              <w:alias w:val="Fonte 2 — validità"/>
              <w:tag w:val="design.authority.sources.2.validity"/>
            </w:sdtPr>
            <w:sdtContent>
              <w:p>
                <w:r>
                  <w:rPr>
                    <w:sz w:val="18"/>
                  </w:rPr>
                  <w:t>Fino a una nuova esportazione</w:t>
                </w:r>
              </w:p>
            </w:sdtContent>
          </w:sdt>
        </w:tc>
      </w:tr>
      <w:tr>
        <w:tc>
          <w:tcPr>
            <w:tcW w:type="dxa" w:w="1701"/>
          </w:tcPr>
          <w:sdt>
            <w:sdtPr>
              <w:alias w:val="Fonte 3 — tipo"/>
              <w:tag w:val="design.authority.sources.3.source_type"/>
            </w:sdtPr>
            <w:sdtContent>
              <w:p>
                <w:r>
                  <w:rPr>
                    <w:sz w:val="18"/>
                  </w:rPr>
                  <w:t>Snapshot sale (fonti/resources_v6.json)</w:t>
                </w:r>
              </w:p>
            </w:sdtContent>
          </w:sdt>
        </w:tc>
        <w:tc>
          <w:tcPr>
            <w:tcW w:type="dxa" w:w="2268"/>
          </w:tcPr>
          <w:sdt>
            <w:sdtPr>
              <w:alias w:val="Fonte 3 — fatti"/>
              <w:tag w:val="design.authority.sources.3.facts"/>
            </w:sdtPr>
            <w:sdtContent>
              <w:p>
                <w:r>
                  <w:rPr>
                    <w:sz w:val="18"/>
                  </w:rPr>
                  <w:t>Sale della Sede Centro, capienza nominale e in assetto ibrido, slot liberi; stime dei servizi: docente 480 unità, assistenza AV 120 unità</w:t>
                </w:r>
              </w:p>
            </w:sdtContent>
          </w:sdt>
        </w:tc>
        <w:tc>
          <w:tcPr>
            <w:tcW w:type="dxa" w:w="1984"/>
          </w:tcPr>
          <w:sdt>
            <w:sdtPr>
              <w:alias w:val="Fonte 3 — autorità"/>
              <w:tag w:val="design.authority.sources.3.authority"/>
            </w:sdtPr>
            <w:sdtContent>
              <w:p>
                <w:r>
                  <w:rPr>
                    <w:sz w:val="18"/>
                  </w:rPr>
                  <w:t>Servizio Spazi</w:t>
                </w:r>
              </w:p>
            </w:sdtContent>
          </w:sdt>
        </w:tc>
        <w:tc>
          <w:tcPr>
            <w:tcW w:type="dxa" w:w="1984"/>
          </w:tcPr>
          <w:sdt>
            <w:sdtPr>
              <w:alias w:val="Fonte 3 — limiti"/>
              <w:tag w:val="design.authority.sources.3.limits"/>
            </w:sdtPr>
            <w:sdtContent>
              <w:p>
                <w:r>
                  <w:rPr>
                    <w:sz w:val="18"/>
                  </w:rPr>
                  <w:t>È uno snapshot e può cambiare dopo la proposta; capienza nominale e capienza ibrida sono due dati diversi</w:t>
                </w:r>
              </w:p>
            </w:sdtContent>
          </w:sdt>
        </w:tc>
        <w:tc>
          <w:tcPr>
            <w:tcW w:type="dxa" w:w="1134"/>
          </w:tcPr>
          <w:sdt>
            <w:sdtPr>
              <w:alias w:val="Fonte 3 — validità"/>
              <w:tag w:val="design.authority.sources.3.validity"/>
            </w:sdtPr>
            <w:sdtContent>
              <w:p>
                <w:r>
                  <w:rPr>
                    <w:sz w:val="18"/>
                  </w:rPr>
                  <w:t>Al momento dello snapshot: 2 settembre 2026, 09:30</w:t>
                </w:r>
              </w:p>
            </w:sdtContent>
          </w:sdt>
        </w:tc>
      </w:tr>
      <w:tr>
        <w:tc>
          <w:tcPr>
            <w:tcW w:type="dxa" w:w="1701"/>
          </w:tcPr>
          <w:sdt>
            <w:sdtPr>
              <w:alias w:val="Fonte 4 — tipo"/>
              <w:tag w:val="design.authority.sources.4.source_type"/>
            </w:sdtPr>
            <w:sdtContent>
              <w:p>
                <w:r>
                  <w:rPr>
                    <w:sz w:val="18"/>
                  </w:rPr>
                  <w:t>Regole operative v1.3 (fonti/operating_rules_v6.md)</w:t>
                </w:r>
              </w:p>
            </w:sdtContent>
          </w:sdt>
        </w:tc>
        <w:tc>
          <w:tcPr>
            <w:tcW w:type="dxa" w:w="2268"/>
          </w:tcPr>
          <w:sdt>
            <w:sdtPr>
              <w:alias w:val="Fonte 4 — fatti"/>
              <w:tag w:val="design.authority.sources.4.facts"/>
            </w:sdtPr>
            <w:sdtContent>
              <w:p>
                <w:r>
                  <w:rPr>
                    <w:sz w:val="18"/>
                  </w:rPr>
                  <w:t>Campi obbligatori (1), capienza da usare (2), soglia di partecipazione 80% (3), soglia di spesa 500 unità (5), esterni (6), idempotenza (8), cambio di fonte (9), timeout (10)</w:t>
                </w:r>
              </w:p>
            </w:sdtContent>
          </w:sdt>
        </w:tc>
        <w:tc>
          <w:tcPr>
            <w:tcW w:type="dxa" w:w="1984"/>
          </w:tcPr>
          <w:sdt>
            <w:sdtPr>
              <w:alias w:val="Fonte 4 — autorità"/>
              <w:tag w:val="design.authority.sources.4.authority"/>
            </w:sdtPr>
            <w:sdtContent>
              <w:p>
                <w:r>
                  <w:rPr>
                    <w:sz w:val="18"/>
                  </w:rPr>
                  <w:t>Segreteria Formazione, versione 1.3 in vigore dal 1 agosto 2026</w:t>
                </w:r>
              </w:p>
            </w:sdtContent>
          </w:sdt>
        </w:tc>
        <w:tc>
          <w:tcPr>
            <w:tcW w:type="dxa" w:w="1984"/>
          </w:tcPr>
          <w:sdt>
            <w:sdtPr>
              <w:alias w:val="Fonte 4 — limiti"/>
              <w:tag w:val="design.authority.sources.4.limits"/>
            </w:sdtPr>
            <w:sdtContent>
              <w:p>
                <w:r>
                  <w:rPr>
                    <w:sz w:val="18"/>
                  </w:rPr>
                  <w:t>Soglie sintetiche; da sola non autorizza nulla: l'approvazione resta del Responsabile Budget</w:t>
                </w:r>
              </w:p>
            </w:sdtContent>
          </w:sdt>
        </w:tc>
        <w:tc>
          <w:tcPr>
            <w:tcW w:type="dxa" w:w="1134"/>
          </w:tcPr>
          <w:sdt>
            <w:sdtPr>
              <w:alias w:val="Fonte 4 — validità"/>
              <w:tag w:val="design.authority.sources.4.validity"/>
            </w:sdtPr>
            <w:sdtContent>
              <w:p>
                <w:r>
                  <w:rPr>
                    <w:sz w:val="18"/>
                  </w:rPr>
                  <w:t>Fino alla versione successiva</w:t>
                </w:r>
              </w:p>
            </w:sdtContent>
          </w:sdt>
        </w:tc>
      </w:tr>
      <w:tr>
        <w:tc>
          <w:tcPr>
            <w:tcW w:type="dxa" w:w="1701"/>
          </w:tcPr>
          <w:sdt>
            <w:sdtPr>
              <w:alias w:val="Fonte 5 — tipo"/>
              <w:tag w:val="design.authority.sources.5.source_type"/>
            </w:sdtPr>
            <w:sdtContent>
              <w:p>
                <w:r>
                  <w:rPr>
                    <w:sz w:val="18"/>
                  </w:rPr>
                  <w:t>Approvazione di spesa</w:t>
                </w:r>
              </w:p>
            </w:sdtContent>
          </w:sdt>
        </w:tc>
        <w:tc>
          <w:tcPr>
            <w:tcW w:type="dxa" w:w="2268"/>
          </w:tcPr>
          <w:sdt>
            <w:sdtPr>
              <w:alias w:val="Fonte 5 — fatti"/>
              <w:tag w:val="design.authority.sources.5.facts"/>
            </w:sdtPr>
            <w:sdtContent>
              <w:p>
                <w:r>
                  <w:rPr>
                    <w:sz w:val="18"/>
                  </w:rPr>
                  <w:t>Che una spesa oltre 500 unità è autorizzata, per quel caso e quell'importo</w:t>
                </w:r>
              </w:p>
            </w:sdtContent>
          </w:sdt>
        </w:tc>
        <w:tc>
          <w:tcPr>
            <w:tcW w:type="dxa" w:w="1984"/>
          </w:tcPr>
          <w:sdt>
            <w:sdtPr>
              <w:alias w:val="Fonte 5 — autorità"/>
              <w:tag w:val="design.authority.sources.5.authority"/>
            </w:sdtPr>
            <w:sdtContent>
              <w:p>
                <w:r>
                  <w:rPr>
                    <w:sz w:val="18"/>
                  </w:rPr>
                  <w:t>Responsabile Budget, record formale</w:t>
                </w:r>
              </w:p>
            </w:sdtContent>
          </w:sdt>
        </w:tc>
        <w:tc>
          <w:tcPr>
            <w:tcW w:type="dxa" w:w="1984"/>
          </w:tcPr>
          <w:sdt>
            <w:sdtPr>
              <w:alias w:val="Fonte 5 — limiti"/>
              <w:tag w:val="design.authority.sources.5.limits"/>
            </w:sdtPr>
            <w:sdtContent>
              <w:p>
                <w:r>
                  <w:rPr>
                    <w:sz w:val="18"/>
                  </w:rPr>
                  <w:t>Un'email informale o una proposta dell'AI non sono un'approvazione</w:t>
                </w:r>
              </w:p>
            </w:sdtContent>
          </w:sdt>
        </w:tc>
        <w:tc>
          <w:tcPr>
            <w:tcW w:type="dxa" w:w="1134"/>
          </w:tcPr>
          <w:sdt>
            <w:sdtPr>
              <w:alias w:val="Fonte 5 — validità"/>
              <w:tag w:val="design.authority.sources.5.validity"/>
            </w:sdtPr>
            <w:sdtContent>
              <w:p>
                <w:r>
                  <w:rPr>
                    <w:sz w:val="18"/>
                  </w:rPr>
                  <w:t>Per il caso e l'importo approvati</w:t>
                </w:r>
              </w:p>
            </w:sdtContent>
          </w:sdt>
        </w:tc>
      </w:tr>
    </w:tbl>
    <w:p>
      <w:pPr>
        <w:spacing w:before="160" w:after="40"/>
      </w:pPr>
      <w:r>
        <w:rPr>
          <w:b/>
          <w:color w:val="2B4590"/>
          <w:sz w:val="20"/>
        </w:rPr>
        <w:t>Regola in caso di conflitto tra fonti</w:t>
      </w:r>
    </w:p>
    <w:sdt>
      <w:sdtPr>
        <w:alias w:val="Regola conflitto"/>
        <w:tag w:val="design.authority.conflict_rule"/>
      </w:sdtPr>
      <w:sdtContent>
        <w:p>
          <w:r>
            <w:rPr>
              <w:sz w:val="20"/>
            </w:rPr>
            <w:t>Per sale e capienze vale lo snapshot del Servizio Spazi, non l'email; per i partecipanti vale il CSV; per soglie e campi obbligatori valgono le regole operative. Se due fonti strutturate si contraddicono (per esempio snapshot e Referente Sede), il gate non passa ed escala al Referente Sede: il conflitto non si risolve scegliendo il dato più comodo.</w:t>
          </w:r>
        </w:p>
      </w:sdtContent>
    </w:sdt>
    <w:p>
      <w:pPr>
        <w:spacing w:before="160" w:after="40"/>
      </w:pPr>
      <w:r>
        <w:rPr>
          <w:b/>
          <w:color w:val="2B4590"/>
          <w:sz w:val="20"/>
        </w:rPr>
        <w:t>4b. Decision map — chi decide</w:t>
      </w:r>
    </w:p>
    <w:p>
      <w:pPr>
        <w:spacing w:before="40" w:after="80"/>
      </w:pPr>
      <w:r>
        <w:rPr>
          <w:i/>
          <w:color w:val="666666"/>
          <w:sz w:val="16"/>
        </w:rPr>
        <w:t>Responsabile ammesso: CODICE, AI, PERSONA. Hard stop: descrivi la condizione che blocca il flusso senza possibilità di override.</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2551"/>
            <w:shd w:val="clear" w:color="auto" w:fill="2B4590"/>
          </w:tcPr>
          <w:p>
            <w:r>
              <w:rPr>
                <w:b/>
                <w:color w:val="FFFFFF"/>
                <w:sz w:val="16"/>
              </w:rPr>
              <w:t>Decisione</w:t>
            </w:r>
          </w:p>
        </w:tc>
        <w:tc>
          <w:tcPr>
            <w:tcW w:type="dxa" w:w="1417"/>
            <w:shd w:val="clear" w:color="auto" w:fill="2B4590"/>
          </w:tcPr>
          <w:p>
            <w:r>
              <w:rPr>
                <w:b/>
                <w:color w:val="FFFFFF"/>
                <w:sz w:val="16"/>
              </w:rPr>
              <w:t>Responsabile</w:t>
              <w:br/>
              <w:t>(CODICE/AI/PERSONA)</w:t>
            </w:r>
          </w:p>
        </w:tc>
        <w:tc>
          <w:tcPr>
            <w:tcW w:type="dxa" w:w="1701"/>
            <w:shd w:val="clear" w:color="auto" w:fill="2B4590"/>
          </w:tcPr>
          <w:p>
            <w:r>
              <w:rPr>
                <w:b/>
                <w:color w:val="FFFFFF"/>
                <w:sz w:val="16"/>
              </w:rPr>
              <w:t>Input</w:t>
            </w:r>
          </w:p>
        </w:tc>
        <w:tc>
          <w:tcPr>
            <w:tcW w:type="dxa" w:w="1701"/>
            <w:shd w:val="clear" w:color="auto" w:fill="2B4590"/>
          </w:tcPr>
          <w:p>
            <w:r>
              <w:rPr>
                <w:b/>
                <w:color w:val="FFFFFF"/>
                <w:sz w:val="16"/>
              </w:rPr>
              <w:t>Output</w:t>
            </w:r>
          </w:p>
        </w:tc>
        <w:tc>
          <w:tcPr>
            <w:tcW w:type="dxa" w:w="1701"/>
            <w:shd w:val="clear" w:color="auto" w:fill="2B4590"/>
          </w:tcPr>
          <w:p>
            <w:r>
              <w:rPr>
                <w:b/>
                <w:color w:val="FFFFFF"/>
                <w:sz w:val="16"/>
              </w:rPr>
              <w:t>Hard stop / stop condition</w:t>
            </w:r>
          </w:p>
        </w:tc>
      </w:tr>
      <w:tr>
        <w:tc>
          <w:tcPr>
            <w:tcW w:type="dxa" w:w="2551"/>
          </w:tcPr>
          <w:sdt>
            <w:sdtPr>
              <w:alias w:val="Decisione 1"/>
              <w:tag w:val="design.decisions.1.decision"/>
            </w:sdtPr>
            <w:sdtContent>
              <w:p>
                <w:r>
                  <w:rPr>
                    <w:sz w:val="18"/>
                  </w:rPr>
                  <w:t>Estrazione dei campi dall'email</w:t>
                </w:r>
              </w:p>
            </w:sdtContent>
          </w:sdt>
        </w:tc>
        <w:tc>
          <w:tcPr>
            <w:tcW w:type="dxa" w:w="1417"/>
          </w:tcPr>
          <w:sdt>
            <w:sdtPr>
              <w:alias w:val="Decisione 1 — owner"/>
              <w:tag w:val="design.decisions.1.owner"/>
            </w:sdtPr>
            <w:sdtContent>
              <w:p>
                <w:r>
                  <w:rPr>
                    <w:sz w:val="18"/>
                  </w:rPr>
                  <w:t>AI</w:t>
                </w:r>
              </w:p>
            </w:sdtContent>
          </w:sdt>
        </w:tc>
        <w:tc>
          <w:tcPr>
            <w:tcW w:type="dxa" w:w="1701"/>
          </w:tcPr>
          <w:sdt>
            <w:sdtPr>
              <w:alias w:val="Decisione 1 — input"/>
              <w:tag w:val="design.decisions.1.inputs"/>
            </w:sdtPr>
            <w:sdtContent>
              <w:p>
                <w:r>
                  <w:rPr>
                    <w:sz w:val="18"/>
                  </w:rPr>
                  <w:t>Testo dell'email, dato non fidato</w:t>
                </w:r>
              </w:p>
            </w:sdtContent>
          </w:sdt>
        </w:tc>
        <w:tc>
          <w:tcPr>
            <w:tcW w:type="dxa" w:w="1701"/>
          </w:tcPr>
          <w:sdt>
            <w:sdtPr>
              <w:alias w:val="Decisione 1 — output"/>
              <w:tag w:val="design.decisions.1.output"/>
            </w:sdtPr>
            <w:sdtContent>
              <w:p>
                <w:r>
                  <w:rPr>
                    <w:sz w:val="18"/>
                  </w:rPr>
                  <w:t>Campi proposti, ciascuno con la frase di origine</w:t>
                </w:r>
              </w:p>
            </w:sdtContent>
          </w:sdt>
        </w:tc>
        <w:tc>
          <w:tcPr>
            <w:tcW w:type="dxa" w:w="1701"/>
          </w:tcPr>
          <w:sdt>
            <w:sdtPr>
              <w:alias w:val="Decisione 1 — stop"/>
              <w:tag w:val="design.decisions.1.stop"/>
            </w:sdtPr>
            <w:sdtContent>
              <w:p>
                <w:r>
                  <w:rPr>
                    <w:sz w:val="18"/>
                  </w:rPr>
                  <w:t>Campo senza frase di origine → resta vuoto; l'AI non decide i gate</w:t>
                </w:r>
              </w:p>
            </w:sdtContent>
          </w:sdt>
        </w:tc>
      </w:tr>
      <w:tr>
        <w:tc>
          <w:tcPr>
            <w:tcW w:type="dxa" w:w="2551"/>
          </w:tcPr>
          <w:sdt>
            <w:sdtPr>
              <w:alias w:val="Decisione 2"/>
              <w:tag w:val="design.decisions.2.decision"/>
            </w:sdtPr>
            <w:sdtContent>
              <w:p>
                <w:r>
                  <w:rPr>
                    <w:sz w:val="18"/>
                  </w:rPr>
                  <w:t>Deduplica della richiesta</w:t>
                </w:r>
              </w:p>
            </w:sdtContent>
          </w:sdt>
        </w:tc>
        <w:tc>
          <w:tcPr>
            <w:tcW w:type="dxa" w:w="1417"/>
          </w:tcPr>
          <w:sdt>
            <w:sdtPr>
              <w:alias w:val="Decisione 2 — owner"/>
              <w:tag w:val="design.decisions.2.owner"/>
            </w:sdtPr>
            <w:sdtContent>
              <w:p>
                <w:r>
                  <w:rPr>
                    <w:sz w:val="18"/>
                  </w:rPr>
                  <w:t>CODICE</w:t>
                </w:r>
              </w:p>
            </w:sdtContent>
          </w:sdt>
        </w:tc>
        <w:tc>
          <w:tcPr>
            <w:tcW w:type="dxa" w:w="1701"/>
          </w:tcPr>
          <w:sdt>
            <w:sdtPr>
              <w:alias w:val="Decisione 2 — input"/>
              <w:tag w:val="design.decisions.2.inputs"/>
            </w:sdtPr>
            <w:sdtContent>
              <w:p>
                <w:r>
                  <w:rPr>
                    <w:sz w:val="18"/>
                  </w:rPr>
                  <w:t>Message-ID, References, In-Reply-To + casi aperti</w:t>
                </w:r>
              </w:p>
            </w:sdtContent>
          </w:sdt>
        </w:tc>
        <w:tc>
          <w:tcPr>
            <w:tcW w:type="dxa" w:w="1701"/>
          </w:tcPr>
          <w:sdt>
            <w:sdtPr>
              <w:alias w:val="Decisione 2 — output"/>
              <w:tag w:val="design.decisions.2.output"/>
            </w:sdtPr>
            <w:sdtContent>
              <w:p>
                <w:r>
                  <w:rPr>
                    <w:sz w:val="18"/>
                  </w:rPr>
                  <w:t>Caso nuovo, oppure collegamento al caso esistente</w:t>
                </w:r>
              </w:p>
            </w:sdtContent>
          </w:sdt>
        </w:tc>
        <w:tc>
          <w:tcPr>
            <w:tcW w:type="dxa" w:w="1701"/>
          </w:tcPr>
          <w:sdt>
            <w:sdtPr>
              <w:alias w:val="Decisione 2 — stop"/>
              <w:tag w:val="design.decisions.2.stop"/>
            </w:sdtPr>
            <w:sdtContent>
              <w:p>
                <w:r>
                  <w:rPr>
                    <w:sz w:val="18"/>
                  </w:rPr>
                  <w:t>Duplicato → stop senza effetti</w:t>
                </w:r>
              </w:p>
            </w:sdtContent>
          </w:sdt>
        </w:tc>
      </w:tr>
      <w:tr>
        <w:tc>
          <w:tcPr>
            <w:tcW w:type="dxa" w:w="2551"/>
          </w:tcPr>
          <w:sdt>
            <w:sdtPr>
              <w:alias w:val="Decisione 3"/>
              <w:tag w:val="design.decisions.3.decision"/>
            </w:sdtPr>
            <w:sdtContent>
              <w:p>
                <w:r>
                  <w:rPr>
                    <w:sz w:val="18"/>
                  </w:rPr>
                  <w:t>Completezza e scelta della sala (regole 1, 2, 3)</w:t>
                </w:r>
              </w:p>
            </w:sdtContent>
          </w:sdt>
        </w:tc>
        <w:tc>
          <w:tcPr>
            <w:tcW w:type="dxa" w:w="1417"/>
          </w:tcPr>
          <w:sdt>
            <w:sdtPr>
              <w:alias w:val="Decisione 3 — owner"/>
              <w:tag w:val="design.decisions.3.owner"/>
            </w:sdtPr>
            <w:sdtContent>
              <w:p>
                <w:r>
                  <w:rPr>
                    <w:sz w:val="18"/>
                  </w:rPr>
                  <w:t>CODICE</w:t>
                </w:r>
              </w:p>
            </w:sdtContent>
          </w:sdt>
        </w:tc>
        <w:tc>
          <w:tcPr>
            <w:tcW w:type="dxa" w:w="1701"/>
          </w:tcPr>
          <w:sdt>
            <w:sdtPr>
              <w:alias w:val="Decisione 3 — input"/>
              <w:tag w:val="design.decisions.3.inputs"/>
            </w:sdtPr>
            <w:sdtContent>
              <w:p>
                <w:r>
                  <w:rPr>
                    <w:sz w:val="18"/>
                  </w:rPr>
                  <w:t>Campi estratti, CSV, snapshot sale, slot del docente</w:t>
                </w:r>
              </w:p>
            </w:sdtContent>
          </w:sdt>
        </w:tc>
        <w:tc>
          <w:tcPr>
            <w:tcW w:type="dxa" w:w="1701"/>
          </w:tcPr>
          <w:sdt>
            <w:sdtPr>
              <w:alias w:val="Decisione 3 — output"/>
              <w:tag w:val="design.decisions.3.output"/>
            </w:sdtPr>
            <w:sdtContent>
              <w:p>
                <w:r>
                  <w:rPr>
                    <w:sz w:val="18"/>
                  </w:rPr>
                  <w:t>COMPLETE o NEEDS_INPUT; sala e slot proposti, o NEEDS_VENUE</w:t>
                </w:r>
              </w:p>
            </w:sdtContent>
          </w:sdt>
        </w:tc>
        <w:tc>
          <w:tcPr>
            <w:tcW w:type="dxa" w:w="1701"/>
          </w:tcPr>
          <w:sdt>
            <w:sdtPr>
              <w:alias w:val="Decisione 3 — stop"/>
              <w:tag w:val="design.decisions.3.stop"/>
            </w:sdtPr>
            <w:sdtContent>
              <w:p>
                <w:r>
                  <w:rPr>
                    <w:sz w:val="18"/>
                  </w:rPr>
                  <w:t>Nessuna sala compatibile → NEEDS_VENUE</w:t>
                </w:r>
              </w:p>
            </w:sdtContent>
          </w:sdt>
        </w:tc>
      </w:tr>
      <w:tr>
        <w:tc>
          <w:tcPr>
            <w:tcW w:type="dxa" w:w="2551"/>
          </w:tcPr>
          <w:sdt>
            <w:sdtPr>
              <w:alias w:val="Decisione 4"/>
              <w:tag w:val="design.decisions.4.decision"/>
            </w:sdtPr>
            <w:sdtContent>
              <w:p>
                <w:r>
                  <w:rPr>
                    <w:sz w:val="18"/>
                  </w:rPr>
                  <w:t>Stima della spesa e soglia di approvazione (regola 5)</w:t>
                </w:r>
              </w:p>
            </w:sdtContent>
          </w:sdt>
        </w:tc>
        <w:tc>
          <w:tcPr>
            <w:tcW w:type="dxa" w:w="1417"/>
          </w:tcPr>
          <w:sdt>
            <w:sdtPr>
              <w:alias w:val="Decisione 4 — owner"/>
              <w:tag w:val="design.decisions.4.owner"/>
            </w:sdtPr>
            <w:sdtContent>
              <w:p>
                <w:r>
                  <w:rPr>
                    <w:sz w:val="18"/>
                  </w:rPr>
                  <w:t>CODICE</w:t>
                </w:r>
              </w:p>
            </w:sdtContent>
          </w:sdt>
        </w:tc>
        <w:tc>
          <w:tcPr>
            <w:tcW w:type="dxa" w:w="1701"/>
          </w:tcPr>
          <w:sdt>
            <w:sdtPr>
              <w:alias w:val="Decisione 4 — input"/>
              <w:tag w:val="design.decisions.4.inputs"/>
            </w:sdtPr>
            <w:sdtContent>
              <w:p>
                <w:r>
                  <w:rPr>
                    <w:sz w:val="18"/>
                  </w:rPr>
                  <w:t>Stime del Servizio Spazi: docente 480, assistenza AV 120. Dall'email: docente interno o esterno, assistenza AV richiesta o no</w:t>
                </w:r>
              </w:p>
            </w:sdtContent>
          </w:sdt>
        </w:tc>
        <w:tc>
          <w:tcPr>
            <w:tcW w:type="dxa" w:w="1701"/>
          </w:tcPr>
          <w:sdt>
            <w:sdtPr>
              <w:alias w:val="Decisione 4 — output"/>
              <w:tag w:val="design.decisions.4.output"/>
            </w:sdtPr>
            <w:sdtContent>
              <w:p>
                <w:r>
                  <w:rPr>
                    <w:sz w:val="18"/>
                  </w:rPr>
                  <w:t>Stima = onorario del docente (480; 0 se l'email dichiara un docente interno) + assistenza AV (120 se richiesta). Fino a 500 unità → gate spesa PASS; oltre 500 → richiesta di approvazione al Responsabile Budget</w:t>
                </w:r>
              </w:p>
            </w:sdtContent>
          </w:sdt>
        </w:tc>
        <w:tc>
          <w:tcPr>
            <w:tcW w:type="dxa" w:w="1701"/>
          </w:tcPr>
          <w:sdt>
            <w:sdtPr>
              <w:alias w:val="Decisione 4 — stop"/>
              <w:tag w:val="design.decisions.4.stop"/>
            </w:sdtPr>
            <w:sdtContent>
              <w:p>
                <w:r>
                  <w:rPr>
                    <w:sz w:val="18"/>
                  </w:rPr>
                  <w:t>Oltre 500 senza approvazione formale: HARD STOP, nessun invito</w:t>
                </w:r>
              </w:p>
            </w:sdtContent>
          </w:sdt>
        </w:tc>
      </w:tr>
      <w:tr>
        <w:tc>
          <w:tcPr>
            <w:tcW w:type="dxa" w:w="2551"/>
          </w:tcPr>
          <w:sdt>
            <w:sdtPr>
              <w:alias w:val="Decisione 5"/>
              <w:tag w:val="design.decisions.5.decision"/>
            </w:sdtPr>
            <w:sdtContent>
              <w:p>
                <w:r>
                  <w:rPr>
                    <w:sz w:val="18"/>
                  </w:rPr>
                  <w:t>Approvazione della spesa oltre 500 unità</w:t>
                </w:r>
              </w:p>
            </w:sdtContent>
          </w:sdt>
        </w:tc>
        <w:tc>
          <w:tcPr>
            <w:tcW w:type="dxa" w:w="1417"/>
          </w:tcPr>
          <w:sdt>
            <w:sdtPr>
              <w:alias w:val="Decisione 5 — owner"/>
              <w:tag w:val="design.decisions.5.owner"/>
            </w:sdtPr>
            <w:sdtContent>
              <w:p>
                <w:r>
                  <w:rPr>
                    <w:sz w:val="18"/>
                  </w:rPr>
                  <w:t>PERSONA</w:t>
                </w:r>
              </w:p>
            </w:sdtContent>
          </w:sdt>
        </w:tc>
        <w:tc>
          <w:tcPr>
            <w:tcW w:type="dxa" w:w="1701"/>
          </w:tcPr>
          <w:sdt>
            <w:sdtPr>
              <w:alias w:val="Decisione 5 — input"/>
              <w:tag w:val="design.decisions.5.inputs"/>
            </w:sdtPr>
            <w:sdtContent>
              <w:p>
                <w:r>
                  <w:rPr>
                    <w:sz w:val="18"/>
                  </w:rPr>
                  <w:t>Stima, motivazione e case_id</w:t>
                </w:r>
              </w:p>
            </w:sdtContent>
          </w:sdt>
        </w:tc>
        <w:tc>
          <w:tcPr>
            <w:tcW w:type="dxa" w:w="1701"/>
          </w:tcPr>
          <w:sdt>
            <w:sdtPr>
              <w:alias w:val="Decisione 5 — output"/>
              <w:tag w:val="design.decisions.5.output"/>
            </w:sdtPr>
            <w:sdtContent>
              <w:p>
                <w:r>
                  <w:rPr>
                    <w:sz w:val="18"/>
                  </w:rPr>
                  <w:t>Record di approvazione o di rifiuto</w:t>
                </w:r>
              </w:p>
            </w:sdtContent>
          </w:sdt>
        </w:tc>
        <w:tc>
          <w:tcPr>
            <w:tcW w:type="dxa" w:w="1701"/>
          </w:tcPr>
          <w:sdt>
            <w:sdtPr>
              <w:alias w:val="Decisione 5 — stop"/>
              <w:tag w:val="design.decisions.5.stop"/>
            </w:sdtPr>
            <w:sdtContent>
              <w:p>
                <w:r>
                  <w:rPr>
                    <w:sz w:val="18"/>
                  </w:rPr>
                  <w:t>HARD STOP: senza record nessun invito; l'AI e il codice non approvano</w:t>
                </w:r>
              </w:p>
            </w:sdtContent>
          </w:sdt>
        </w:tc>
      </w:tr>
      <w:tr>
        <w:tc>
          <w:tcPr>
            <w:tcW w:type="dxa" w:w="2551"/>
          </w:tcPr>
          <w:sdt>
            <w:sdtPr>
              <w:alias w:val="Decisione 6"/>
              <w:tag w:val="design.decisions.6.decision"/>
            </w:sdtPr>
            <w:sdtContent>
              <w:p>
                <w:r>
                  <w:rPr>
                    <w:sz w:val="18"/>
                  </w:rPr>
                  <w:t>Scelta fra opzioni equivalenti e conferma finale</w:t>
                </w:r>
              </w:p>
            </w:sdtContent>
          </w:sdt>
        </w:tc>
        <w:tc>
          <w:tcPr>
            <w:tcW w:type="dxa" w:w="1417"/>
          </w:tcPr>
          <w:sdt>
            <w:sdtPr>
              <w:alias w:val="Decisione 6 — owner"/>
              <w:tag w:val="design.decisions.6.owner"/>
            </w:sdtPr>
            <w:sdtContent>
              <w:p>
                <w:r>
                  <w:rPr>
                    <w:sz w:val="18"/>
                  </w:rPr>
                  <w:t>PERSONA</w:t>
                </w:r>
              </w:p>
            </w:sdtContent>
          </w:sdt>
        </w:tc>
        <w:tc>
          <w:tcPr>
            <w:tcW w:type="dxa" w:w="1701"/>
          </w:tcPr>
          <w:sdt>
            <w:sdtPr>
              <w:alias w:val="Decisione 6 — input"/>
              <w:tag w:val="design.decisions.6.inputs"/>
            </w:sdtPr>
            <w:sdtContent>
              <w:p>
                <w:r>
                  <w:rPr>
                    <w:sz w:val="18"/>
                  </w:rPr>
                  <w:t>Opzioni già validate dai gate</w:t>
                </w:r>
              </w:p>
            </w:sdtContent>
          </w:sdt>
        </w:tc>
        <w:tc>
          <w:tcPr>
            <w:tcW w:type="dxa" w:w="1701"/>
          </w:tcPr>
          <w:sdt>
            <w:sdtPr>
              <w:alias w:val="Decisione 6 — output"/>
              <w:tag w:val="design.decisions.6.output"/>
            </w:sdtPr>
            <w:sdtContent>
              <w:p>
                <w:r>
                  <w:rPr>
                    <w:sz w:val="18"/>
                  </w:rPr>
                  <w:t>Scelta registrata con il motivo</w:t>
                </w:r>
              </w:p>
            </w:sdtContent>
          </w:sdt>
        </w:tc>
        <w:tc>
          <w:tcPr>
            <w:tcW w:type="dxa" w:w="1701"/>
          </w:tcPr>
          <w:sdt>
            <w:sdtPr>
              <w:alias w:val="Decisione 6 — stop"/>
              <w:tag w:val="design.decisions.6.stop"/>
            </w:sdtPr>
            <w:sdtContent>
              <w:p>
                <w:r>
                  <w:rPr>
                    <w:sz w:val="18"/>
                  </w:rPr>
                  <w:t>Non supera un hard stop</w:t>
                </w:r>
              </w:p>
            </w:sdtContent>
          </w:sdt>
        </w:tc>
      </w:tr>
    </w:tbl>
    <w:p>
      <w:pPr>
        <w:spacing w:before="160" w:after="40"/>
      </w:pPr>
      <w:r>
        <w:rPr>
          <w:b/>
          <w:color w:val="2B4590"/>
          <w:sz w:val="20"/>
        </w:rPr>
        <w:t>Decisioni sempre umane (non delegabili ad AI)</w:t>
      </w:r>
    </w:p>
    <w:sdt>
      <w:sdtPr>
        <w:alias w:val="Sempre umano"/>
        <w:tag w:val="design.decisions.always_human"/>
      </w:sdtPr>
      <w:sdtContent>
        <w:p>
          <w:r>
            <w:rPr>
              <w:sz w:val="20"/>
            </w:rPr>
            <w:t>Approvare una spesa oltre 500 unità; confermare data e sala in via definitiva; chiudere l'accesso dei partecipanti esterni (Referente Sede, regola 6); annullare un caso.</w:t>
          </w:r>
        </w:p>
      </w:sdtContent>
    </w:sdt>
    <w:p>
      <w:pPr>
        <w:spacing w:before="160" w:after="40"/>
      </w:pPr>
      <w:r>
        <w:rPr>
          <w:b/>
          <w:color w:val="2B4590"/>
          <w:sz w:val="20"/>
        </w:rPr>
        <w:t>4c. Schema dei tool — che cosa il workflow può fare</w:t>
      </w:r>
    </w:p>
    <w:p>
      <w:pPr>
        <w:spacing w:before="40" w:after="80"/>
      </w:pPr>
      <w:r>
        <w:rPr>
          <w:i/>
          <w:color w:val="666666"/>
          <w:sz w:val="16"/>
        </w:rPr>
        <w:t>Per ogni tool: che cosa riceve, che effetto produce, con quale permesso, quali errori deve saper restituire e quale evidenza lascia. Permesso ammesso: read (legge e basta), propose (prepara ma non applica), write (applica un effetto, qui sempre simulato). Almeno una riga è obbligatoria: un workflow senza tool non ha modo di agire.</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87"/>
            <w:shd w:val="clear" w:color="auto" w:fill="2B4590"/>
          </w:tcPr>
          <w:p>
            <w:r>
              <w:rPr>
                <w:b/>
                <w:color w:val="FFFFFF"/>
                <w:sz w:val="16"/>
              </w:rPr>
              <w:t>Tool</w:t>
            </w:r>
          </w:p>
        </w:tc>
        <w:tc>
          <w:tcPr>
            <w:tcW w:type="dxa" w:w="1587"/>
            <w:shd w:val="clear" w:color="auto" w:fill="2B4590"/>
          </w:tcPr>
          <w:p>
            <w:r>
              <w:rPr>
                <w:b/>
                <w:color w:val="FFFFFF"/>
                <w:sz w:val="16"/>
              </w:rPr>
              <w:t>Input</w:t>
            </w:r>
          </w:p>
        </w:tc>
        <w:tc>
          <w:tcPr>
            <w:tcW w:type="dxa" w:w="1701"/>
            <w:shd w:val="clear" w:color="auto" w:fill="2B4590"/>
          </w:tcPr>
          <w:p>
            <w:r>
              <w:rPr>
                <w:b/>
                <w:color w:val="FFFFFF"/>
                <w:sz w:val="16"/>
              </w:rPr>
              <w:t>Effetto</w:t>
            </w:r>
          </w:p>
        </w:tc>
        <w:tc>
          <w:tcPr>
            <w:tcW w:type="dxa" w:w="1191"/>
            <w:shd w:val="clear" w:color="auto" w:fill="2B4590"/>
          </w:tcPr>
          <w:p>
            <w:r>
              <w:rPr>
                <w:b/>
                <w:color w:val="FFFFFF"/>
                <w:sz w:val="16"/>
              </w:rPr>
              <w:t>Permesso</w:t>
              <w:br/>
              <w:t>(read/propose/write)</w:t>
            </w:r>
          </w:p>
        </w:tc>
        <w:tc>
          <w:tcPr>
            <w:tcW w:type="dxa" w:w="1644"/>
            <w:shd w:val="clear" w:color="auto" w:fill="2B4590"/>
          </w:tcPr>
          <w:p>
            <w:r>
              <w:rPr>
                <w:b/>
                <w:color w:val="FFFFFF"/>
                <w:sz w:val="16"/>
              </w:rPr>
              <w:t>Errori attesi</w:t>
            </w:r>
          </w:p>
        </w:tc>
        <w:tc>
          <w:tcPr>
            <w:tcW w:type="dxa" w:w="1644"/>
            <w:shd w:val="clear" w:color="auto" w:fill="2B4590"/>
          </w:tcPr>
          <w:p>
            <w:r>
              <w:rPr>
                <w:b/>
                <w:color w:val="FFFFFF"/>
                <w:sz w:val="16"/>
              </w:rPr>
              <w:t>Evidenza prodotta</w:t>
            </w:r>
          </w:p>
        </w:tc>
      </w:tr>
      <w:tr>
        <w:tc>
          <w:tcPr>
            <w:tcW w:type="dxa" w:w="1587"/>
          </w:tcPr>
          <w:sdt>
            <w:sdtPr>
              <w:alias w:val="Tool 1 — nome"/>
              <w:tag w:val="design.tools.1.name"/>
            </w:sdtPr>
            <w:sdtContent>
              <w:p>
                <w:r>
                  <w:rPr>
                    <w:sz w:val="18"/>
                  </w:rPr>
                  <w:t>read_request</w:t>
                </w:r>
              </w:p>
            </w:sdtContent>
          </w:sdt>
        </w:tc>
        <w:tc>
          <w:tcPr>
            <w:tcW w:type="dxa" w:w="1587"/>
          </w:tcPr>
          <w:sdt>
            <w:sdtPr>
              <w:alias w:val="Tool 1 — input"/>
              <w:tag w:val="design.tools.1.input"/>
            </w:sdtPr>
            <w:sdtContent>
              <w:p>
                <w:r>
                  <w:rPr>
                    <w:sz w:val="18"/>
                  </w:rPr>
                  <w:t>File .eml</w:t>
                </w:r>
              </w:p>
            </w:sdtContent>
          </w:sdt>
        </w:tc>
        <w:tc>
          <w:tcPr>
            <w:tcW w:type="dxa" w:w="1701"/>
          </w:tcPr>
          <w:sdt>
            <w:sdtPr>
              <w:alias w:val="Tool 1 — effetto"/>
              <w:tag w:val="design.tools.1.effect"/>
            </w:sdtPr>
            <w:sdtContent>
              <w:p>
                <w:r>
                  <w:rPr>
                    <w:sz w:val="18"/>
                  </w:rPr>
                  <w:t>Legge Message-ID, References, In-Reply-To, X-Caso, X-Allegato, mittente, oggetto e testo</w:t>
                </w:r>
              </w:p>
            </w:sdtContent>
          </w:sdt>
        </w:tc>
        <w:tc>
          <w:tcPr>
            <w:tcW w:type="dxa" w:w="1191"/>
          </w:tcPr>
          <w:sdt>
            <w:sdtPr>
              <w:alias w:val="Tool 1 — permesso"/>
              <w:tag w:val="design.tools.1.permission"/>
            </w:sdtPr>
            <w:sdtContent>
              <w:p>
                <w:r>
                  <w:rPr>
                    <w:sz w:val="18"/>
                  </w:rPr>
                  <w:t>read</w:t>
                </w:r>
              </w:p>
            </w:sdtContent>
          </w:sdt>
        </w:tc>
        <w:tc>
          <w:tcPr>
            <w:tcW w:type="dxa" w:w="1644"/>
          </w:tcPr>
          <w:sdt>
            <w:sdtPr>
              <w:alias w:val="Tool 1 — errori attesi"/>
              <w:tag w:val="design.tools.1.errors"/>
            </w:sdtPr>
            <w:sdtContent>
              <w:p>
                <w:r>
                  <w:rPr>
                    <w:sz w:val="18"/>
                  </w:rPr>
                  <w:t>File assente; Message-ID mancante</w:t>
                </w:r>
              </w:p>
            </w:sdtContent>
          </w:sdt>
        </w:tc>
        <w:tc>
          <w:tcPr>
            <w:tcW w:type="dxa" w:w="1644"/>
          </w:tcPr>
          <w:sdt>
            <w:sdtPr>
              <w:alias w:val="Tool 1 — evidenza prodotta"/>
              <w:tag w:val="design.tools.1.evidence"/>
            </w:sdtPr>
            <w:sdtContent>
              <w:p>
                <w:r>
                  <w:rPr>
                    <w:sz w:val="18"/>
                  </w:rPr>
                  <w:t>Message-ID e nome del file nella trace</w:t>
                </w:r>
              </w:p>
            </w:sdtContent>
          </w:sdt>
        </w:tc>
      </w:tr>
      <w:tr>
        <w:tc>
          <w:tcPr>
            <w:tcW w:type="dxa" w:w="1587"/>
          </w:tcPr>
          <w:sdt>
            <w:sdtPr>
              <w:alias w:val="Tool 2 — nome"/>
              <w:tag w:val="design.tools.2.name"/>
            </w:sdtPr>
            <w:sdtContent>
              <w:p>
                <w:r>
                  <w:rPr>
                    <w:sz w:val="18"/>
                  </w:rPr>
                  <w:t>read_participants</w:t>
                </w:r>
              </w:p>
            </w:sdtContent>
          </w:sdt>
        </w:tc>
        <w:tc>
          <w:tcPr>
            <w:tcW w:type="dxa" w:w="1587"/>
          </w:tcPr>
          <w:sdt>
            <w:sdtPr>
              <w:alias w:val="Tool 2 — input"/>
              <w:tag w:val="design.tools.2.input"/>
            </w:sdtPr>
            <w:sdtContent>
              <w:p>
                <w:r>
                  <w:rPr>
                    <w:sz w:val="18"/>
                  </w:rPr>
                  <w:t>CSV indicato da X-Allegato</w:t>
                </w:r>
              </w:p>
            </w:sdtContent>
          </w:sdt>
        </w:tc>
        <w:tc>
          <w:tcPr>
            <w:tcW w:type="dxa" w:w="1701"/>
          </w:tcPr>
          <w:sdt>
            <w:sdtPr>
              <w:alias w:val="Tool 2 — effetto"/>
              <w:tag w:val="design.tools.2.effect"/>
            </w:sdtPr>
            <w:sdtContent>
              <w:p>
                <w:r>
                  <w:rPr>
                    <w:sz w:val="18"/>
                  </w:rPr>
                  <w:t>Conta presenze, remoti, modalità mancanti, esterni e disponibilità per slot</w:t>
                </w:r>
              </w:p>
            </w:sdtContent>
          </w:sdt>
        </w:tc>
        <w:tc>
          <w:tcPr>
            <w:tcW w:type="dxa" w:w="1191"/>
          </w:tcPr>
          <w:sdt>
            <w:sdtPr>
              <w:alias w:val="Tool 2 — permesso"/>
              <w:tag w:val="design.tools.2.permission"/>
            </w:sdtPr>
            <w:sdtContent>
              <w:p>
                <w:r>
                  <w:rPr>
                    <w:sz w:val="18"/>
                  </w:rPr>
                  <w:t>read</w:t>
                </w:r>
              </w:p>
            </w:sdtContent>
          </w:sdt>
        </w:tc>
        <w:tc>
          <w:tcPr>
            <w:tcW w:type="dxa" w:w="1644"/>
          </w:tcPr>
          <w:sdt>
            <w:sdtPr>
              <w:alias w:val="Tool 2 — errori attesi"/>
              <w:tag w:val="design.tools.2.errors"/>
            </w:sdtPr>
            <w:sdtContent>
              <w:p>
                <w:r>
                  <w:rPr>
                    <w:sz w:val="18"/>
                  </w:rPr>
                  <w:t>CSV assente o con colonne diverse</w:t>
                </w:r>
              </w:p>
            </w:sdtContent>
          </w:sdt>
        </w:tc>
        <w:tc>
          <w:tcPr>
            <w:tcW w:type="dxa" w:w="1644"/>
          </w:tcPr>
          <w:sdt>
            <w:sdtPr>
              <w:alias w:val="Tool 2 — evidenza prodotta"/>
              <w:tag w:val="design.tools.2.evidence"/>
            </w:sdtPr>
            <w:sdtContent>
              <w:p>
                <w:r>
                  <w:rPr>
                    <w:sz w:val="18"/>
                  </w:rPr>
                  <w:t>Conteggi con il nome del file</w:t>
                </w:r>
              </w:p>
            </w:sdtContent>
          </w:sdt>
        </w:tc>
      </w:tr>
      <w:tr>
        <w:tc>
          <w:tcPr>
            <w:tcW w:type="dxa" w:w="1587"/>
          </w:tcPr>
          <w:sdt>
            <w:sdtPr>
              <w:alias w:val="Tool 3 — nome"/>
              <w:tag w:val="design.tools.3.name"/>
            </w:sdtPr>
            <w:sdtContent>
              <w:p>
                <w:r>
                  <w:rPr>
                    <w:sz w:val="18"/>
                  </w:rPr>
                  <w:t>read_rooms</w:t>
                </w:r>
              </w:p>
            </w:sdtContent>
          </w:sdt>
        </w:tc>
        <w:tc>
          <w:tcPr>
            <w:tcW w:type="dxa" w:w="1587"/>
          </w:tcPr>
          <w:sdt>
            <w:sdtPr>
              <w:alias w:val="Tool 3 — input"/>
              <w:tag w:val="design.tools.3.input"/>
            </w:sdtPr>
            <w:sdtContent>
              <w:p>
                <w:r>
                  <w:rPr>
                    <w:sz w:val="18"/>
                  </w:rPr>
                  <w:t>resources_v6.json</w:t>
                </w:r>
              </w:p>
            </w:sdtContent>
          </w:sdt>
        </w:tc>
        <w:tc>
          <w:tcPr>
            <w:tcW w:type="dxa" w:w="1701"/>
          </w:tcPr>
          <w:sdt>
            <w:sdtPr>
              <w:alias w:val="Tool 3 — effetto"/>
              <w:tag w:val="design.tools.3.effect"/>
            </w:sdtPr>
            <w:sdtContent>
              <w:p>
                <w:r>
                  <w:rPr>
                    <w:sz w:val="18"/>
                  </w:rPr>
                  <w:t>Restituisce sale, capienze, slot liberi e stime dei servizi</w:t>
                </w:r>
              </w:p>
            </w:sdtContent>
          </w:sdt>
        </w:tc>
        <w:tc>
          <w:tcPr>
            <w:tcW w:type="dxa" w:w="1191"/>
          </w:tcPr>
          <w:sdt>
            <w:sdtPr>
              <w:alias w:val="Tool 3 — permesso"/>
              <w:tag w:val="design.tools.3.permission"/>
            </w:sdtPr>
            <w:sdtContent>
              <w:p>
                <w:r>
                  <w:rPr>
                    <w:sz w:val="18"/>
                  </w:rPr>
                  <w:t>read</w:t>
                </w:r>
              </w:p>
            </w:sdtContent>
          </w:sdt>
        </w:tc>
        <w:tc>
          <w:tcPr>
            <w:tcW w:type="dxa" w:w="1644"/>
          </w:tcPr>
          <w:sdt>
            <w:sdtPr>
              <w:alias w:val="Tool 3 — errori attesi"/>
              <w:tag w:val="design.tools.3.errors"/>
            </w:sdtPr>
            <w:sdtContent>
              <w:p>
                <w:r>
                  <w:rPr>
                    <w:sz w:val="18"/>
                  </w:rPr>
                  <w:t>Snapshot assente o illeggibile</w:t>
                </w:r>
              </w:p>
            </w:sdtContent>
          </w:sdt>
        </w:tc>
        <w:tc>
          <w:tcPr>
            <w:tcW w:type="dxa" w:w="1644"/>
          </w:tcPr>
          <w:sdt>
            <w:sdtPr>
              <w:alias w:val="Tool 3 — evidenza prodotta"/>
              <w:tag w:val="design.tools.3.evidence"/>
            </w:sdtPr>
            <w:sdtContent>
              <w:p>
                <w:r>
                  <w:rPr>
                    <w:sz w:val="18"/>
                  </w:rPr>
                  <w:t>snapshot_id e observed_at nella trace</w:t>
                </w:r>
              </w:p>
            </w:sdtContent>
          </w:sdt>
        </w:tc>
      </w:tr>
      <w:tr>
        <w:tc>
          <w:tcPr>
            <w:tcW w:type="dxa" w:w="1587"/>
          </w:tcPr>
          <w:sdt>
            <w:sdtPr>
              <w:alias w:val="Tool 4 — nome"/>
              <w:tag w:val="design.tools.4.name"/>
            </w:sdtPr>
            <w:sdtContent>
              <w:p>
                <w:r>
                  <w:rPr>
                    <w:sz w:val="18"/>
                  </w:rPr>
                  <w:t>ai_extract_fields</w:t>
                </w:r>
              </w:p>
            </w:sdtContent>
          </w:sdt>
        </w:tc>
        <w:tc>
          <w:tcPr>
            <w:tcW w:type="dxa" w:w="1587"/>
          </w:tcPr>
          <w:sdt>
            <w:sdtPr>
              <w:alias w:val="Tool 4 — input"/>
              <w:tag w:val="design.tools.4.input"/>
            </w:sdtPr>
            <w:sdtContent>
              <w:p>
                <w:r>
                  <w:rPr>
                    <w:sz w:val="18"/>
                  </w:rPr>
                  <w:t>Testo dell'email</w:t>
                </w:r>
              </w:p>
            </w:sdtContent>
          </w:sdt>
        </w:tc>
        <w:tc>
          <w:tcPr>
            <w:tcW w:type="dxa" w:w="1701"/>
          </w:tcPr>
          <w:sdt>
            <w:sdtPr>
              <w:alias w:val="Tool 4 — effetto"/>
              <w:tag w:val="design.tools.4.effect"/>
            </w:sdtPr>
            <w:sdtContent>
              <w:p>
                <w:r>
                  <w:rPr>
                    <w:sz w:val="18"/>
                  </w:rPr>
                  <w:t>Propone i campi con la frase di origine</w:t>
                </w:r>
              </w:p>
            </w:sdtContent>
          </w:sdt>
        </w:tc>
        <w:tc>
          <w:tcPr>
            <w:tcW w:type="dxa" w:w="1191"/>
          </w:tcPr>
          <w:sdt>
            <w:sdtPr>
              <w:alias w:val="Tool 4 — permesso"/>
              <w:tag w:val="design.tools.4.permission"/>
            </w:sdtPr>
            <w:sdtContent>
              <w:p>
                <w:r>
                  <w:rPr>
                    <w:sz w:val="18"/>
                  </w:rPr>
                  <w:t>propose</w:t>
                </w:r>
              </w:p>
            </w:sdtContent>
          </w:sdt>
        </w:tc>
        <w:tc>
          <w:tcPr>
            <w:tcW w:type="dxa" w:w="1644"/>
          </w:tcPr>
          <w:sdt>
            <w:sdtPr>
              <w:alias w:val="Tool 4 — errori attesi"/>
              <w:tag w:val="design.tools.4.errors"/>
            </w:sdtPr>
            <w:sdtContent>
              <w:p>
                <w:r>
                  <w:rPr>
                    <w:sz w:val="18"/>
                  </w:rPr>
                  <w:t>Campo senza frase di origine; testo che contiene istruzioni</w:t>
                </w:r>
              </w:p>
            </w:sdtContent>
          </w:sdt>
        </w:tc>
        <w:tc>
          <w:tcPr>
            <w:tcW w:type="dxa" w:w="1644"/>
          </w:tcPr>
          <w:sdt>
            <w:sdtPr>
              <w:alias w:val="Tool 4 — evidenza prodotta"/>
              <w:tag w:val="design.tools.4.evidence"/>
            </w:sdtPr>
            <w:sdtContent>
              <w:p>
                <w:r>
                  <w:rPr>
                    <w:sz w:val="18"/>
                  </w:rPr>
                  <w:t>Campi con citazione, marcati come proposta</w:t>
                </w:r>
              </w:p>
            </w:sdtContent>
          </w:sdt>
        </w:tc>
      </w:tr>
      <w:tr>
        <w:tc>
          <w:tcPr>
            <w:tcW w:type="dxa" w:w="1587"/>
          </w:tcPr>
          <w:sdt>
            <w:sdtPr>
              <w:alias w:val="Tool 5 — nome"/>
              <w:tag w:val="design.tools.5.name"/>
            </w:sdtPr>
            <w:sdtContent>
              <w:p>
                <w:r>
                  <w:rPr>
                    <w:sz w:val="18"/>
                  </w:rPr>
                  <w:t>save_case</w:t>
                </w:r>
              </w:p>
            </w:sdtContent>
          </w:sdt>
        </w:tc>
        <w:tc>
          <w:tcPr>
            <w:tcW w:type="dxa" w:w="1587"/>
          </w:tcPr>
          <w:sdt>
            <w:sdtPr>
              <w:alias w:val="Tool 5 — input"/>
              <w:tag w:val="design.tools.5.input"/>
            </w:sdtPr>
            <w:sdtContent>
              <w:p>
                <w:r>
                  <w:rPr>
                    <w:sz w:val="18"/>
                  </w:rPr>
                  <w:t>Caso, esiti dei gate, chiave di idempotenza</w:t>
                </w:r>
              </w:p>
            </w:sdtContent>
          </w:sdt>
        </w:tc>
        <w:tc>
          <w:tcPr>
            <w:tcW w:type="dxa" w:w="1701"/>
          </w:tcPr>
          <w:sdt>
            <w:sdtPr>
              <w:alias w:val="Tool 5 — effetto"/>
              <w:tag w:val="design.tools.5.effect"/>
            </w:sdtPr>
            <w:sdtContent>
              <w:p>
                <w:r>
                  <w:rPr>
                    <w:sz w:val="18"/>
                  </w:rPr>
                  <w:t>Scrive o aggiorna il caso in casi.json; nessun effetto esterno</w:t>
                </w:r>
              </w:p>
            </w:sdtContent>
          </w:sdt>
        </w:tc>
        <w:tc>
          <w:tcPr>
            <w:tcW w:type="dxa" w:w="1191"/>
          </w:tcPr>
          <w:sdt>
            <w:sdtPr>
              <w:alias w:val="Tool 5 — permesso"/>
              <w:tag w:val="design.tools.5.permission"/>
            </w:sdtPr>
            <w:sdtContent>
              <w:p>
                <w:r>
                  <w:rPr>
                    <w:sz w:val="18"/>
                  </w:rPr>
                  <w:t>write</w:t>
                </w:r>
              </w:p>
            </w:sdtContent>
          </w:sdt>
        </w:tc>
        <w:tc>
          <w:tcPr>
            <w:tcW w:type="dxa" w:w="1644"/>
          </w:tcPr>
          <w:sdt>
            <w:sdtPr>
              <w:alias w:val="Tool 5 — errori attesi"/>
              <w:tag w:val="design.tools.5.errors"/>
            </w:sdtPr>
            <w:sdtContent>
              <w:p>
                <w:r>
                  <w:rPr>
                    <w:sz w:val="18"/>
                  </w:rPr>
                  <w:t>Chiave già usata con esito diverso</w:t>
                </w:r>
              </w:p>
            </w:sdtContent>
          </w:sdt>
        </w:tc>
        <w:tc>
          <w:tcPr>
            <w:tcW w:type="dxa" w:w="1644"/>
          </w:tcPr>
          <w:sdt>
            <w:sdtPr>
              <w:alias w:val="Tool 5 — evidenza prodotta"/>
              <w:tag w:val="design.tools.5.evidence"/>
            </w:sdtPr>
            <w:sdtContent>
              <w:p>
                <w:r>
                  <w:rPr>
                    <w:sz w:val="18"/>
                  </w:rPr>
                  <w:t>Caso con case_id, chiave e trace dei gate</w:t>
                </w:r>
              </w:p>
            </w:sdtContent>
          </w:sdt>
        </w:tc>
      </w:tr>
    </w:tbl>
    <w:p>
      <w:r>
        <w:br w:type="page"/>
      </w:r>
    </w:p>
    <w:p>
      <w:pPr>
        <w:spacing w:before="280" w:after="80"/>
        <w:pBdr>
          <w:bottom w:val="single" w:sz="6" w:space="1" w:color="1A1A2E"/>
        </w:pBdr>
      </w:pPr>
      <w:r>
        <w:rPr>
          <w:b/>
          <w:color w:val="1A1A2E"/>
          <w:sz w:val="26"/>
        </w:rPr>
        <w:t>5. INTERAZIONE — TOUCHPOINT UMANI</w:t>
      </w:r>
    </w:p>
    <w:p>
      <w:pPr>
        <w:spacing w:before="40" w:after="80"/>
      </w:pPr>
      <w:r>
        <w:rPr>
          <w:i/>
          <w:color w:val="666666"/>
          <w:sz w:val="16"/>
        </w:rPr>
        <w:t>Per ogni momento in cui una persona interagisce col workflow: superficie usata, azione richiesta, dato strutturato prodotto, cosa succede se il dato non arriva (safe failure).</w:t>
      </w:r>
    </w:p>
    <w:p>
      <w:pPr>
        <w:spacing w:before="160" w:after="40"/>
      </w:pPr>
      <w:r>
        <w:rPr>
          <w:b/>
          <w:color w:val="2B4590"/>
          <w:sz w:val="20"/>
        </w:rPr>
        <w:t>Modalità del nodo AI</w:t>
      </w:r>
    </w:p>
    <w:p>
      <w:pPr>
        <w:spacing w:before="40" w:after="80"/>
      </w:pPr>
      <w:r>
        <w:rPr>
          <w:i/>
          <w:color w:val="666666"/>
          <w:sz w:val="16"/>
        </w:rPr>
        <w:t>Dichiara chi esegue il nodo: agent (operatore con strumenti) oppure manual (scambio assistito dalla persona). Questa scelta entra nel freeze. Nel laboratorio Meridiano configura il nodo nel TODO-01; descrivi qui sotto il passaggio alla persona e il fallback.</w:t>
      </w:r>
    </w:p>
    <w:sdt>
      <w:sdtPr>
        <w:alias w:val="Modalità AI agent o manual"/>
        <w:tag w:val="design.interaction.execution_mode"/>
      </w:sdtPr>
      <w:sdtContent>
        <w:p>
          <w:r>
            <w:rPr>
              <w:sz w:val="20"/>
            </w:rPr>
            <w:t>manual</w:t>
          </w:r>
        </w:p>
      </w:sdtContent>
    </w:sdt>
    <w:p>
      <w:pPr>
        <w:spacing w:before="40" w:after="80"/>
      </w:pPr>
      <w:r>
        <w:rPr>
          <w:i/>
          <w:color w:val="666666"/>
          <w:sz w:val="16"/>
        </w:rPr>
        <w:t>Richieste simulate ai ruoli competenti: enabled per aprire task, raccogliere una risposta umana nel ruolo e rivalutare i gate prima della review finale; disabled per fermarsi alla proposta. Nessun invio reale.</w:t>
      </w:r>
    </w:p>
    <w:sdt>
      <w:sdtPr>
        <w:alias w:val="Richieste ai ruoli enabled o disabled"/>
        <w:tag w:val="design.interaction.approval_requests"/>
      </w:sdtPr>
      <w:sdtContent>
        <w:p>
          <w:r>
            <w:rPr>
              <w:sz w:val="20"/>
            </w:rPr>
            <w:t>disabled</w:t>
          </w:r>
        </w:p>
      </w:sdtContent>
    </w:sdt>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701"/>
            <w:shd w:val="clear" w:color="auto" w:fill="1A1A2E"/>
          </w:tcPr>
          <w:p>
            <w:r>
              <w:rPr>
                <w:b/>
                <w:color w:val="FFFFFF"/>
                <w:sz w:val="16"/>
              </w:rPr>
              <w:t>Momento</w:t>
            </w:r>
          </w:p>
        </w:tc>
        <w:tc>
          <w:tcPr>
            <w:tcW w:type="dxa" w:w="1701"/>
            <w:shd w:val="clear" w:color="auto" w:fill="1A1A2E"/>
          </w:tcPr>
          <w:p>
            <w:r>
              <w:rPr>
                <w:b/>
                <w:color w:val="FFFFFF"/>
                <w:sz w:val="16"/>
              </w:rPr>
              <w:t>Superficie</w:t>
            </w:r>
          </w:p>
        </w:tc>
        <w:tc>
          <w:tcPr>
            <w:tcW w:type="dxa" w:w="1984"/>
            <w:shd w:val="clear" w:color="auto" w:fill="1A1A2E"/>
          </w:tcPr>
          <w:p>
            <w:r>
              <w:rPr>
                <w:b/>
                <w:color w:val="FFFFFF"/>
                <w:sz w:val="16"/>
              </w:rPr>
              <w:t>Azione umana</w:t>
            </w:r>
          </w:p>
        </w:tc>
        <w:tc>
          <w:tcPr>
            <w:tcW w:type="dxa" w:w="1701"/>
            <w:shd w:val="clear" w:color="auto" w:fill="1A1A2E"/>
          </w:tcPr>
          <w:p>
            <w:r>
              <w:rPr>
                <w:b/>
                <w:color w:val="FFFFFF"/>
                <w:sz w:val="16"/>
              </w:rPr>
              <w:t>Dato strutturato</w:t>
            </w:r>
          </w:p>
        </w:tc>
        <w:tc>
          <w:tcPr>
            <w:tcW w:type="dxa" w:w="1984"/>
            <w:shd w:val="clear" w:color="auto" w:fill="1A1A2E"/>
          </w:tcPr>
          <w:p>
            <w:r>
              <w:rPr>
                <w:b/>
                <w:color w:val="FFFFFF"/>
                <w:sz w:val="16"/>
              </w:rPr>
              <w:t>Safe failure</w:t>
            </w:r>
          </w:p>
        </w:tc>
      </w:tr>
      <w:tr>
        <w:tc>
          <w:tcPr>
            <w:tcW w:type="dxa" w:w="1701"/>
          </w:tcPr>
          <w:sdt>
            <w:sdtPr>
              <w:alias w:val="Touchpoint 1 — momento"/>
              <w:tag w:val="design.interaction.touchpoints.1.moment"/>
            </w:sdtPr>
            <w:sdtContent>
              <w:p>
                <w:r>
                  <w:rPr>
                    <w:sz w:val="18"/>
                  </w:rPr>
                  <w:t>Richiesta incompleta</w:t>
                </w:r>
              </w:p>
            </w:sdtContent>
          </w:sdt>
        </w:tc>
        <w:tc>
          <w:tcPr>
            <w:tcW w:type="dxa" w:w="1701"/>
          </w:tcPr>
          <w:sdt>
            <w:sdtPr>
              <w:alias w:val="Touchpoint 1 — superficie"/>
              <w:tag w:val="design.interaction.touchpoints.1.surface"/>
            </w:sdtPr>
            <w:sdtContent>
              <w:p>
                <w:r>
                  <w:rPr>
                    <w:sz w:val="18"/>
                  </w:rPr>
                  <w:t>Email di chiarimento proposta dal workflow</w:t>
                </w:r>
              </w:p>
            </w:sdtContent>
          </w:sdt>
        </w:tc>
        <w:tc>
          <w:tcPr>
            <w:tcW w:type="dxa" w:w="1984"/>
          </w:tcPr>
          <w:sdt>
            <w:sdtPr>
              <w:alias w:val="Touchpoint 1 — azione"/>
              <w:tag w:val="design.interaction.touchpoints.1.human_action"/>
            </w:sdtPr>
            <w:sdtContent>
              <w:p>
                <w:r>
                  <w:rPr>
                    <w:sz w:val="18"/>
                  </w:rPr>
                  <w:t>La Direzione Programmi completa i campi o le modalità</w:t>
                </w:r>
              </w:p>
            </w:sdtContent>
          </w:sdt>
        </w:tc>
        <w:tc>
          <w:tcPr>
            <w:tcW w:type="dxa" w:w="1701"/>
          </w:tcPr>
          <w:sdt>
            <w:sdtPr>
              <w:alias w:val="Touchpoint 1 — dato strutturato"/>
              <w:tag w:val="design.interaction.touchpoints.1.structured_data"/>
            </w:sdtPr>
            <w:sdtContent>
              <w:p>
                <w:r>
                  <w:rPr>
                    <w:sz w:val="18"/>
                  </w:rPr>
                  <w:t>Campi completati, collegati al case_id</w:t>
                </w:r>
              </w:p>
            </w:sdtContent>
          </w:sdt>
        </w:tc>
        <w:tc>
          <w:tcPr>
            <w:tcW w:type="dxa" w:w="1984"/>
          </w:tcPr>
          <w:sdt>
            <w:sdtPr>
              <w:alias w:val="Touchpoint 1 — safe failure"/>
              <w:tag w:val="design.interaction.touchpoints.1.safe_failure"/>
            </w:sdtPr>
            <w:sdtContent>
              <w:p>
                <w:r>
                  <w:rPr>
                    <w:sz w:val="18"/>
                  </w:rPr>
                  <w:t>Dopo il timeout il caso resta NEEDS_INPUT, sospeso con owner</w:t>
                </w:r>
              </w:p>
            </w:sdtContent>
          </w:sdt>
        </w:tc>
      </w:tr>
      <w:tr>
        <w:tc>
          <w:tcPr>
            <w:tcW w:type="dxa" w:w="1701"/>
          </w:tcPr>
          <w:sdt>
            <w:sdtPr>
              <w:alias w:val="Touchpoint 2 — momento"/>
              <w:tag w:val="design.interaction.touchpoints.2.moment"/>
            </w:sdtPr>
            <w:sdtContent>
              <w:p>
                <w:r>
                  <w:rPr>
                    <w:sz w:val="18"/>
                  </w:rPr>
                  <w:t>Richiesta di approvazione della spesa</w:t>
                </w:r>
              </w:p>
            </w:sdtContent>
          </w:sdt>
        </w:tc>
        <w:tc>
          <w:tcPr>
            <w:tcW w:type="dxa" w:w="1701"/>
          </w:tcPr>
          <w:sdt>
            <w:sdtPr>
              <w:alias w:val="Touchpoint 2 — superficie"/>
              <w:tag w:val="design.interaction.touchpoints.2.surface"/>
            </w:sdtPr>
            <w:sdtContent>
              <w:p>
                <w:r>
                  <w:rPr>
                    <w:sz w:val="18"/>
                  </w:rPr>
                  <w:t>Messaggio al Responsabile Budget con stima e motivazione</w:t>
                </w:r>
              </w:p>
            </w:sdtContent>
          </w:sdt>
        </w:tc>
        <w:tc>
          <w:tcPr>
            <w:tcW w:type="dxa" w:w="1984"/>
          </w:tcPr>
          <w:sdt>
            <w:sdtPr>
              <w:alias w:val="Touchpoint 2 — azione"/>
              <w:tag w:val="design.interaction.touchpoints.2.human_action"/>
            </w:sdtPr>
            <w:sdtContent>
              <w:p>
                <w:r>
                  <w:rPr>
                    <w:sz w:val="18"/>
                  </w:rPr>
                  <w:t>Approva o rifiuta</w:t>
                </w:r>
              </w:p>
            </w:sdtContent>
          </w:sdt>
        </w:tc>
        <w:tc>
          <w:tcPr>
            <w:tcW w:type="dxa" w:w="1701"/>
          </w:tcPr>
          <w:sdt>
            <w:sdtPr>
              <w:alias w:val="Touchpoint 2 — dato strutturato"/>
              <w:tag w:val="design.interaction.touchpoints.2.structured_data"/>
            </w:sdtPr>
            <w:sdtContent>
              <w:p>
                <w:r>
                  <w:rPr>
                    <w:sz w:val="18"/>
                  </w:rPr>
                  <w:t>Record: case_id, importo, decisione, approvatore, data</w:t>
                </w:r>
              </w:p>
            </w:sdtContent>
          </w:sdt>
        </w:tc>
        <w:tc>
          <w:tcPr>
            <w:tcW w:type="dxa" w:w="1984"/>
          </w:tcPr>
          <w:sdt>
            <w:sdtPr>
              <w:alias w:val="Touchpoint 2 — safe failure"/>
              <w:tag w:val="design.interaction.touchpoints.2.safe_failure"/>
            </w:sdtPr>
            <w:sdtContent>
              <w:p>
                <w:r>
                  <w:rPr>
                    <w:sz w:val="18"/>
                  </w:rPr>
                  <w:t>Senza risposta entro il timeout: caso sospeso, nessun invito</w:t>
                </w:r>
              </w:p>
            </w:sdtContent>
          </w:sdt>
        </w:tc>
      </w:tr>
      <w:tr>
        <w:tc>
          <w:tcPr>
            <w:tcW w:type="dxa" w:w="1701"/>
          </w:tcPr>
          <w:sdt>
            <w:sdtPr>
              <w:alias w:val="Touchpoint 3 — momento"/>
              <w:tag w:val="design.interaction.touchpoints.3.moment"/>
            </w:sdtPr>
            <w:sdtContent>
              <w:p>
                <w:r>
                  <w:rPr>
                    <w:sz w:val="18"/>
                  </w:rPr>
                  <w:t>Proposta di attivazione</w:t>
                </w:r>
              </w:p>
            </w:sdtContent>
          </w:sdt>
        </w:tc>
        <w:tc>
          <w:tcPr>
            <w:tcW w:type="dxa" w:w="1701"/>
          </w:tcPr>
          <w:sdt>
            <w:sdtPr>
              <w:alias w:val="Touchpoint 3 — superficie"/>
              <w:tag w:val="design.interaction.touchpoints.3.surface"/>
            </w:sdtPr>
            <w:sdtContent>
              <w:p>
                <w:r>
                  <w:rPr>
                    <w:sz w:val="18"/>
                  </w:rPr>
                  <w:t>Esito stampato dallo script, una riga per gate</w:t>
                </w:r>
              </w:p>
            </w:sdtContent>
          </w:sdt>
        </w:tc>
        <w:tc>
          <w:tcPr>
            <w:tcW w:type="dxa" w:w="1984"/>
          </w:tcPr>
          <w:sdt>
            <w:sdtPr>
              <w:alias w:val="Touchpoint 3 — azione"/>
              <w:tag w:val="design.interaction.touchpoints.3.human_action"/>
            </w:sdtPr>
            <w:sdtContent>
              <w:p>
                <w:r>
                  <w:rPr>
                    <w:sz w:val="18"/>
                  </w:rPr>
                  <w:t>La Segreteria sceglie e conferma</w:t>
                </w:r>
              </w:p>
            </w:sdtContent>
          </w:sdt>
        </w:tc>
        <w:tc>
          <w:tcPr>
            <w:tcW w:type="dxa" w:w="1701"/>
          </w:tcPr>
          <w:sdt>
            <w:sdtPr>
              <w:alias w:val="Touchpoint 3 — dato strutturato"/>
              <w:tag w:val="design.interaction.touchpoints.3.structured_data"/>
            </w:sdtPr>
            <w:sdtContent>
              <w:p>
                <w:r>
                  <w:rPr>
                    <w:sz w:val="18"/>
                  </w:rPr>
                  <w:t>Scelta registrata con il motivo</w:t>
                </w:r>
              </w:p>
            </w:sdtContent>
          </w:sdt>
        </w:tc>
        <w:tc>
          <w:tcPr>
            <w:tcW w:type="dxa" w:w="1984"/>
          </w:tcPr>
          <w:sdt>
            <w:sdtPr>
              <w:alias w:val="Touchpoint 3 — safe failure"/>
              <w:tag w:val="design.interaction.touchpoints.3.safe_failure"/>
            </w:sdtPr>
            <w:sdtContent>
              <w:p>
                <w:r>
                  <w:rPr>
                    <w:sz w:val="18"/>
                  </w:rPr>
                  <w:t>Senza conferma resta una proposta</w:t>
                </w:r>
              </w:p>
            </w:sdtContent>
          </w:sdt>
        </w:tc>
      </w:tr>
      <w:tr>
        <w:tc>
          <w:tcPr>
            <w:tcW w:type="dxa" w:w="1701"/>
          </w:tcPr>
          <w:sdt>
            <w:sdtPr>
              <w:alias w:val="Touchpoint 4 — momento"/>
              <w:tag w:val="design.interaction.touchpoints.4.moment"/>
            </w:sdtPr>
            <w:sdtContent>
              <w:p>
                <w:r>
                  <w:rPr>
                    <w:sz w:val="18"/>
                  </w:rPr>
                  <w:t>Accesso dei partecipanti esterni</w:t>
                </w:r>
              </w:p>
            </w:sdtContent>
          </w:sdt>
        </w:tc>
        <w:tc>
          <w:tcPr>
            <w:tcW w:type="dxa" w:w="1701"/>
          </w:tcPr>
          <w:sdt>
            <w:sdtPr>
              <w:alias w:val="Touchpoint 4 — superficie"/>
              <w:tag w:val="design.interaction.touchpoints.4.surface"/>
            </w:sdtPr>
            <w:sdtContent>
              <w:p>
                <w:r>
                  <w:rPr>
                    <w:sz w:val="18"/>
                  </w:rPr>
                  <w:t>Attività di accesso preparata dal workflow</w:t>
                </w:r>
              </w:p>
            </w:sdtContent>
          </w:sdt>
        </w:tc>
        <w:tc>
          <w:tcPr>
            <w:tcW w:type="dxa" w:w="1984"/>
          </w:tcPr>
          <w:sdt>
            <w:sdtPr>
              <w:alias w:val="Touchpoint 4 — azione"/>
              <w:tag w:val="design.interaction.touchpoints.4.human_action"/>
            </w:sdtPr>
            <w:sdtContent>
              <w:p>
                <w:r>
                  <w:rPr>
                    <w:sz w:val="18"/>
                  </w:rPr>
                  <w:t>Il Referente Sede conferma</w:t>
                </w:r>
              </w:p>
            </w:sdtContent>
          </w:sdt>
        </w:tc>
        <w:tc>
          <w:tcPr>
            <w:tcW w:type="dxa" w:w="1701"/>
          </w:tcPr>
          <w:sdt>
            <w:sdtPr>
              <w:alias w:val="Touchpoint 4 — dato strutturato"/>
              <w:tag w:val="design.interaction.touchpoints.4.structured_data"/>
            </w:sdtPr>
            <w:sdtContent>
              <w:p>
                <w:r>
                  <w:rPr>
                    <w:sz w:val="18"/>
                  </w:rPr>
                  <w:t>Conferma con gli identificativi degli esterni del caso</w:t>
                </w:r>
              </w:p>
            </w:sdtContent>
          </w:sdt>
        </w:tc>
        <w:tc>
          <w:tcPr>
            <w:tcW w:type="dxa" w:w="1984"/>
          </w:tcPr>
          <w:sdt>
            <w:sdtPr>
              <w:alias w:val="Touchpoint 4 — safe failure"/>
              <w:tag w:val="design.interaction.touchpoints.4.safe_failure"/>
            </w:sdtPr>
            <w:sdtContent>
              <w:p>
                <w:r>
                  <w:rPr>
                    <w:sz w:val="18"/>
                  </w:rPr>
                  <w:t>Attività aperta, non chiusa (regola 6)</w:t>
                </w:r>
              </w:p>
            </w:sdtContent>
          </w:sdt>
        </w:tc>
      </w:tr>
    </w:tbl>
    <w:p>
      <w:pPr>
        <w:spacing w:before="160" w:after="40"/>
      </w:pPr>
      <w:r>
        <w:rPr>
          <w:b/>
          <w:color w:val="2B4590"/>
          <w:sz w:val="20"/>
        </w:rPr>
        <w:t>Accessibilità</w:t>
      </w:r>
    </w:p>
    <w:p>
      <w:pPr>
        <w:spacing w:before="40" w:after="80"/>
      </w:pPr>
      <w:r>
        <w:rPr>
          <w:i/>
          <w:color w:val="666666"/>
          <w:sz w:val="16"/>
        </w:rPr>
        <w:t>Come viene reso accessibile il dato strutturato (es. file testuale, prompt interattivo, form).</w:t>
      </w:r>
    </w:p>
    <w:sdt>
      <w:sdtPr>
        <w:alias w:val="Accessibilità"/>
        <w:tag w:val="design.interaction.accessibility"/>
      </w:sdtPr>
      <w:sdtContent>
        <w:p>
          <w:r>
            <w:rPr>
              <w:sz w:val="20"/>
            </w:rPr>
            <w:t>L'esito è testo semplice, una riga per gate con esito, regola e motivo, leggibile nel terminale o incollabile in una chat; nessuna interfaccia dedicata.</w:t>
          </w:r>
        </w:p>
      </w:sdtContent>
    </w:sdt>
    <w:p>
      <w:r>
        <w:br w:type="page"/>
      </w:r>
    </w:p>
    <w:p>
      <w:pPr>
        <w:spacing w:before="280" w:after="80"/>
        <w:pBdr>
          <w:bottom w:val="single" w:sz="6" w:space="1" w:color="1A1A2E"/>
        </w:pBdr>
      </w:pPr>
      <w:r>
        <w:rPr>
          <w:b/>
          <w:color w:val="1A1A2E"/>
          <w:sz w:val="26"/>
        </w:rPr>
        <w:t>6. PARAMETRI DEL WORKFLOW</w:t>
      </w:r>
    </w:p>
    <w:p>
      <w:pPr>
        <w:spacing w:before="40" w:after="80"/>
      </w:pPr>
      <w:r>
        <w:rPr>
          <w:i/>
          <w:color w:val="666666"/>
          <w:sz w:val="16"/>
        </w:rPr>
        <w:t>Le scelte di progetto che potrebbero ragionevolmente essere diverse: una soglia, una strategia per i casi incerti, quanto il workflow mostra a chi lo usa. Per ognuna scrivi il valore scelto, l'alternativa scartata, il motivo e il caso che distingue le due. Il parametro 1 cambia il comportamento (che cosa il workflow decide o quando si ferma); il parametro 2 cambia l'interazione o l'osservabilità (trace, review, report); il terzo è facoltativo.</w:t>
      </w:r>
    </w:p>
    <w:p>
      <w:pPr>
        <w:spacing w:before="40" w:after="80"/>
      </w:pPr>
      <w:r>
        <w:rPr>
          <w:i/>
          <w:color w:val="666666"/>
          <w:sz w:val="16"/>
        </w:rPr>
        <w:t>Se usi il kit del laboratorio, nomi e valori ammessi sono nel mandato: scrivi la dimensione esattamente come appare lì, freeze-spec la controlla.</w:t>
      </w:r>
    </w:p>
    <w:p>
      <w:pPr>
        <w:spacing w:before="160" w:after="40"/>
      </w:pPr>
      <w:r>
        <w:rPr>
          <w:b/>
          <w:color w:val="2B4590"/>
          <w:sz w:val="20"/>
        </w:rPr>
        <w:t>Parametro 1 — comportamento (obbligatorio)</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1A1A2E"/>
          </w:tcPr>
          <w:p>
            <w:r>
              <w:rPr>
                <w:b/>
                <w:color w:val="FFFFFF"/>
                <w:sz w:val="16"/>
              </w:rPr>
              <w:t>Campo</w:t>
            </w:r>
          </w:p>
        </w:tc>
        <w:tc>
          <w:tcPr>
            <w:tcW w:type="dxa" w:w="6236"/>
            <w:shd w:val="clear" w:color="auto" w:fill="1A1A2E"/>
          </w:tcPr>
          <w:p>
            <w:r>
              <w:rPr>
                <w:b/>
                <w:color w:val="FFFFFF"/>
                <w:sz w:val="16"/>
              </w:rPr>
              <w:t>Valore</w:t>
            </w:r>
          </w:p>
        </w:tc>
      </w:tr>
      <w:tr>
        <w:tc>
          <w:tcPr>
            <w:tcW w:type="dxa" w:w="2835"/>
          </w:tcPr>
          <w:p>
            <w:r>
              <w:rPr>
                <w:sz w:val="18"/>
              </w:rPr>
              <w:t>Dimensione</w:t>
            </w:r>
          </w:p>
        </w:tc>
        <w:tc>
          <w:tcPr>
            <w:tcW w:type="dxa" w:w="6236"/>
          </w:tcPr>
          <w:sdt>
            <w:sdtPr>
              <w:alias w:val="Dimensione scelta"/>
              <w:tag w:val="design.personalization.1.dimension"/>
            </w:sdtPr>
            <w:sdtContent>
              <w:p>
                <w:r>
                  <w:rPr>
                    <w:sz w:val="18"/>
                  </w:rPr>
                  <w:t>soglia_spesa</w:t>
                </w:r>
              </w:p>
            </w:sdtContent>
          </w:sdt>
        </w:tc>
      </w:tr>
      <w:tr>
        <w:tc>
          <w:tcPr>
            <w:tcW w:type="dxa" w:w="2835"/>
          </w:tcPr>
          <w:p>
            <w:r>
              <w:rPr>
                <w:sz w:val="18"/>
              </w:rPr>
              <w:t>Valore</w:t>
            </w:r>
          </w:p>
        </w:tc>
        <w:tc>
          <w:tcPr>
            <w:tcW w:type="dxa" w:w="6236"/>
          </w:tcPr>
          <w:sdt>
            <w:sdtPr>
              <w:alias w:val="Valore scelto"/>
              <w:tag w:val="design.personalization.1.value"/>
            </w:sdtPr>
            <w:sdtContent>
              <w:p>
                <w:r>
                  <w:rPr>
                    <w:sz w:val="18"/>
                  </w:rPr>
                  <w:t>500 unità (regola 5)</w:t>
                </w:r>
              </w:p>
            </w:sdtContent>
          </w:sdt>
        </w:tc>
      </w:tr>
      <w:tr>
        <w:tc>
          <w:tcPr>
            <w:tcW w:type="dxa" w:w="2835"/>
          </w:tcPr>
          <w:p>
            <w:r>
              <w:rPr>
                <w:sz w:val="18"/>
              </w:rPr>
              <w:t>Alternativa</w:t>
            </w:r>
          </w:p>
        </w:tc>
        <w:tc>
          <w:tcPr>
            <w:tcW w:type="dxa" w:w="6236"/>
          </w:tcPr>
          <w:sdt>
            <w:sdtPr>
              <w:alias w:val="Alternativa"/>
              <w:tag w:val="design.personalization.1.alternative"/>
            </w:sdtPr>
            <w:sdtContent>
              <w:p>
                <w:r>
                  <w:rPr>
                    <w:sz w:val="18"/>
                  </w:rPr>
                  <w:t>approvazione sempre richiesta</w:t>
                </w:r>
              </w:p>
            </w:sdtContent>
          </w:sdt>
        </w:tc>
      </w:tr>
      <w:tr>
        <w:tc>
          <w:tcPr>
            <w:tcW w:type="dxa" w:w="2835"/>
          </w:tcPr>
          <w:p>
            <w:r>
              <w:rPr>
                <w:sz w:val="18"/>
              </w:rPr>
              <w:t>Razionale</w:t>
            </w:r>
          </w:p>
        </w:tc>
        <w:tc>
          <w:tcPr>
            <w:tcW w:type="dxa" w:w="6236"/>
          </w:tcPr>
          <w:sdt>
            <w:sdtPr>
              <w:alias w:val="Razionale della scelta"/>
              <w:tag w:val="design.personalization.1.rationale"/>
            </w:sdtPr>
            <w:sdtContent>
              <w:p>
                <w:r>
                  <w:rPr>
                    <w:sz w:val="18"/>
                  </w:rPr>
                  <w:t>La regola operativa fissa 500: chiedere sempre l'approvazione rallenterebbe i workshop piccoli senza ridurre il rischio.</w:t>
                </w:r>
              </w:p>
            </w:sdtContent>
          </w:sdt>
        </w:tc>
      </w:tr>
      <w:tr>
        <w:tc>
          <w:tcPr>
            <w:tcW w:type="dxa" w:w="2835"/>
          </w:tcPr>
          <w:p>
            <w:r>
              <w:rPr>
                <w:sz w:val="18"/>
              </w:rPr>
              <w:t>Caso discriminante</w:t>
            </w:r>
          </w:p>
        </w:tc>
        <w:tc>
          <w:tcPr>
            <w:tcW w:type="dxa" w:w="6236"/>
          </w:tcPr>
          <w:sdt>
            <w:sdtPr>
              <w:alias w:val="Caso discriminante (test che distingue scelta da alternativa)"/>
              <w:tag w:val="design.personalization.1.discriminating_case"/>
            </w:sdtPr>
            <w:sdtContent>
              <w:p>
                <w:r>
                  <w:rPr>
                    <w:sz w:val="18"/>
                  </w:rPr>
                  <w:t>WS-031, stima 120: con 500 è attivabile subito; con l'alternativa andrebbe in attesa del Responsabile Budget.</w:t>
                </w:r>
              </w:p>
            </w:sdtContent>
          </w:sdt>
        </w:tc>
      </w:tr>
    </w:tbl>
    <w:p>
      <w:pPr>
        <w:spacing w:before="160" w:after="40"/>
      </w:pPr>
      <w:r>
        <w:rPr>
          <w:b/>
          <w:color w:val="2B4590"/>
          <w:sz w:val="20"/>
        </w:rPr>
        <w:t>Parametro 2 — interazione o osservabilità (obbligatorio)</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1A1A2E"/>
          </w:tcPr>
          <w:p>
            <w:r>
              <w:rPr>
                <w:b/>
                <w:color w:val="FFFFFF"/>
                <w:sz w:val="16"/>
              </w:rPr>
              <w:t>Campo</w:t>
            </w:r>
          </w:p>
        </w:tc>
        <w:tc>
          <w:tcPr>
            <w:tcW w:type="dxa" w:w="6236"/>
            <w:shd w:val="clear" w:color="auto" w:fill="1A1A2E"/>
          </w:tcPr>
          <w:p>
            <w:r>
              <w:rPr>
                <w:b/>
                <w:color w:val="FFFFFF"/>
                <w:sz w:val="16"/>
              </w:rPr>
              <w:t>Valore</w:t>
            </w:r>
          </w:p>
        </w:tc>
      </w:tr>
      <w:tr>
        <w:tc>
          <w:tcPr>
            <w:tcW w:type="dxa" w:w="2835"/>
          </w:tcPr>
          <w:p>
            <w:r>
              <w:rPr>
                <w:sz w:val="18"/>
              </w:rPr>
              <w:t>Dimensione</w:t>
            </w:r>
          </w:p>
        </w:tc>
        <w:tc>
          <w:tcPr>
            <w:tcW w:type="dxa" w:w="6236"/>
          </w:tcPr>
          <w:sdt>
            <w:sdtPr>
              <w:alias w:val="Dimensione scelta"/>
              <w:tag w:val="design.personalization.2.dimension"/>
            </w:sdtPr>
            <w:sdtContent>
              <w:p>
                <w:r>
                  <w:rPr>
                    <w:sz w:val="18"/>
                  </w:rPr>
                  <w:t>dettaglio_esito</w:t>
                </w:r>
              </w:p>
            </w:sdtContent>
          </w:sdt>
        </w:tc>
      </w:tr>
      <w:tr>
        <w:tc>
          <w:tcPr>
            <w:tcW w:type="dxa" w:w="2835"/>
          </w:tcPr>
          <w:p>
            <w:r>
              <w:rPr>
                <w:sz w:val="18"/>
              </w:rPr>
              <w:t>Valore</w:t>
            </w:r>
          </w:p>
        </w:tc>
        <w:tc>
          <w:tcPr>
            <w:tcW w:type="dxa" w:w="6236"/>
          </w:tcPr>
          <w:sdt>
            <w:sdtPr>
              <w:alias w:val="Valore scelto"/>
              <w:tag w:val="design.personalization.2.value"/>
            </w:sdtPr>
            <w:sdtContent>
              <w:p>
                <w:r>
                  <w:rPr>
                    <w:sz w:val="18"/>
                  </w:rPr>
                  <w:t>una riga per gate con esito, regola e motivo</w:t>
                </w:r>
              </w:p>
            </w:sdtContent>
          </w:sdt>
        </w:tc>
      </w:tr>
      <w:tr>
        <w:tc>
          <w:tcPr>
            <w:tcW w:type="dxa" w:w="2835"/>
          </w:tcPr>
          <w:p>
            <w:r>
              <w:rPr>
                <w:sz w:val="18"/>
              </w:rPr>
              <w:t>Alternativa</w:t>
            </w:r>
          </w:p>
        </w:tc>
        <w:tc>
          <w:tcPr>
            <w:tcW w:type="dxa" w:w="6236"/>
          </w:tcPr>
          <w:sdt>
            <w:sdtPr>
              <w:alias w:val="Alternativa"/>
              <w:tag w:val="design.personalization.2.alternative"/>
            </w:sdtPr>
            <w:sdtContent>
              <w:p>
                <w:r>
                  <w:rPr>
                    <w:sz w:val="18"/>
                  </w:rPr>
                  <w:t>solo lo stato finale</w:t>
                </w:r>
              </w:p>
            </w:sdtContent>
          </w:sdt>
        </w:tc>
      </w:tr>
      <w:tr>
        <w:tc>
          <w:tcPr>
            <w:tcW w:type="dxa" w:w="2835"/>
          </w:tcPr>
          <w:p>
            <w:r>
              <w:rPr>
                <w:sz w:val="18"/>
              </w:rPr>
              <w:t>Razionale</w:t>
            </w:r>
          </w:p>
        </w:tc>
        <w:tc>
          <w:tcPr>
            <w:tcW w:type="dxa" w:w="6236"/>
          </w:tcPr>
          <w:sdt>
            <w:sdtPr>
              <w:alias w:val="Razionale della scelta"/>
              <w:tag w:val="design.personalization.2.rationale"/>
            </w:sdtPr>
            <w:sdtContent>
              <w:p>
                <w:r>
                  <w:rPr>
                    <w:sz w:val="18"/>
                  </w:rPr>
                  <w:t>Chi riceve la proposta deve poter dire quale regola ha prodotto l'esito, e chi la presenta in aula anche.</w:t>
                </w:r>
              </w:p>
            </w:sdtContent>
          </w:sdt>
        </w:tc>
      </w:tr>
      <w:tr>
        <w:tc>
          <w:tcPr>
            <w:tcW w:type="dxa" w:w="2835"/>
          </w:tcPr>
          <w:p>
            <w:r>
              <w:rPr>
                <w:sz w:val="18"/>
              </w:rPr>
              <w:t>Caso discriminante</w:t>
            </w:r>
          </w:p>
        </w:tc>
        <w:tc>
          <w:tcPr>
            <w:tcW w:type="dxa" w:w="6236"/>
          </w:tcPr>
          <w:sdt>
            <w:sdtPr>
              <w:alias w:val="Caso discriminante (test che distingue scelta da alternativa)"/>
              <w:tag w:val="design.personalization.2.discriminating_case"/>
            </w:sdtPr>
            <w:sdtContent>
              <w:p>
                <w:r>
                  <w:rPr>
                    <w:sz w:val="18"/>
                  </w:rPr>
                  <w:t>WS-024: con il dettaglio si vede che Orione è scartata per 16 posti contro 17; con il solo stato finale resta un «Vega» senza motivo.</w:t>
                </w:r>
              </w:p>
            </w:sdtContent>
          </w:sdt>
        </w:tc>
      </w:tr>
    </w:tbl>
    <w:p>
      <w:pPr>
        <w:spacing w:before="160" w:after="40"/>
      </w:pPr>
      <w:r>
        <w:rPr>
          <w:b/>
          <w:color w:val="2B4590"/>
          <w:sz w:val="20"/>
        </w:rPr>
        <w:t>Parametro 3 — qualunque (facoltativo)</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1A1A2E"/>
          </w:tcPr>
          <w:p>
            <w:r>
              <w:rPr>
                <w:b/>
                <w:color w:val="FFFFFF"/>
                <w:sz w:val="16"/>
              </w:rPr>
              <w:t>Campo</w:t>
            </w:r>
          </w:p>
        </w:tc>
        <w:tc>
          <w:tcPr>
            <w:tcW w:type="dxa" w:w="6236"/>
            <w:shd w:val="clear" w:color="auto" w:fill="1A1A2E"/>
          </w:tcPr>
          <w:p>
            <w:r>
              <w:rPr>
                <w:b/>
                <w:color w:val="FFFFFF"/>
                <w:sz w:val="16"/>
              </w:rPr>
              <w:t>Valore</w:t>
            </w:r>
          </w:p>
        </w:tc>
      </w:tr>
      <w:tr>
        <w:tc>
          <w:tcPr>
            <w:tcW w:type="dxa" w:w="2835"/>
          </w:tcPr>
          <w:p>
            <w:r>
              <w:rPr>
                <w:sz w:val="18"/>
              </w:rPr>
              <w:t>Dimensione</w:t>
            </w:r>
          </w:p>
        </w:tc>
        <w:tc>
          <w:tcPr>
            <w:tcW w:type="dxa" w:w="6236"/>
          </w:tcPr>
          <w:sdt>
            <w:sdtPr>
              <w:alias w:val="Dimensione scelta"/>
              <w:tag w:val="design.personalization.3.dimension"/>
            </w:sdtPr>
            <w:sdtContent>
              <w:p>
                <w:r>
                  <w:rPr>
                    <w:sz w:val="18"/>
                  </w:rPr>
                  <w:t>posti_modalita_mancante</w:t>
                </w:r>
              </w:p>
            </w:sdtContent>
          </w:sdt>
        </w:tc>
      </w:tr>
      <w:tr>
        <w:tc>
          <w:tcPr>
            <w:tcW w:type="dxa" w:w="2835"/>
          </w:tcPr>
          <w:p>
            <w:r>
              <w:rPr>
                <w:sz w:val="18"/>
              </w:rPr>
              <w:t>Valore</w:t>
            </w:r>
          </w:p>
        </w:tc>
        <w:tc>
          <w:tcPr>
            <w:tcW w:type="dxa" w:w="6236"/>
          </w:tcPr>
          <w:sdt>
            <w:sdtPr>
              <w:alias w:val="Valore scelto"/>
              <w:tag w:val="design.personalization.3.value"/>
            </w:sdtPr>
            <w:sdtContent>
              <w:p>
                <w:r>
                  <w:rPr>
                    <w:sz w:val="18"/>
                  </w:rPr>
                  <w:t>conta come presenza (caso peggiore)</w:t>
                </w:r>
              </w:p>
            </w:sdtContent>
          </w:sdt>
        </w:tc>
      </w:tr>
      <w:tr>
        <w:tc>
          <w:tcPr>
            <w:tcW w:type="dxa" w:w="2835"/>
          </w:tcPr>
          <w:p>
            <w:r>
              <w:rPr>
                <w:sz w:val="18"/>
              </w:rPr>
              <w:t>Alternativa</w:t>
            </w:r>
          </w:p>
        </w:tc>
        <w:tc>
          <w:tcPr>
            <w:tcW w:type="dxa" w:w="6236"/>
          </w:tcPr>
          <w:sdt>
            <w:sdtPr>
              <w:alias w:val="Alternativa"/>
              <w:tag w:val="design.personalization.3.alternative"/>
            </w:sdtPr>
            <w:sdtContent>
              <w:p>
                <w:r>
                  <w:rPr>
                    <w:sz w:val="18"/>
                  </w:rPr>
                  <w:t>conta solo le presenze dichiarate</w:t>
                </w:r>
              </w:p>
            </w:sdtContent>
          </w:sdt>
        </w:tc>
      </w:tr>
      <w:tr>
        <w:tc>
          <w:tcPr>
            <w:tcW w:type="dxa" w:w="2835"/>
          </w:tcPr>
          <w:p>
            <w:r>
              <w:rPr>
                <w:sz w:val="18"/>
              </w:rPr>
              <w:t>Razionale</w:t>
            </w:r>
          </w:p>
        </w:tc>
        <w:tc>
          <w:tcPr>
            <w:tcW w:type="dxa" w:w="6236"/>
          </w:tcPr>
          <w:sdt>
            <w:sdtPr>
              <w:alias w:val="Razionale della scelta"/>
              <w:tag w:val="design.personalization.3.rationale"/>
            </w:sdtPr>
            <w:sdtContent>
              <w:p>
                <w:r>
                  <w:rPr>
                    <w:sz w:val="18"/>
                  </w:rPr>
                  <w:t>Regola 3: le modalità mancanti vanno chiarite prima della conferma; finché non lo sono, la sala deve poterle contenere.</w:t>
                </w:r>
              </w:p>
            </w:sdtContent>
          </w:sdt>
        </w:tc>
      </w:tr>
      <w:tr>
        <w:tc>
          <w:tcPr>
            <w:tcW w:type="dxa" w:w="2835"/>
          </w:tcPr>
          <w:p>
            <w:r>
              <w:rPr>
                <w:sz w:val="18"/>
              </w:rPr>
              <w:t>Caso discriminante</w:t>
            </w:r>
          </w:p>
        </w:tc>
        <w:tc>
          <w:tcPr>
            <w:tcW w:type="dxa" w:w="6236"/>
          </w:tcPr>
          <w:sdt>
            <w:sdtPr>
              <w:alias w:val="Caso discriminante (test che distingue scelta da alternativa)"/>
              <w:tag w:val="design.personalization.3.discriminating_case"/>
            </w:sdtPr>
            <w:sdtContent>
              <w:p>
                <w:r>
                  <w:rPr>
                    <w:sz w:val="18"/>
                  </w:rPr>
                  <w:t>WS-024: nel caso peggiore servono 17 posti e Orione (16) è esclusa; contando solo le 15 presenze dichiarate Orione passerebbe.</w:t>
                </w:r>
              </w:p>
            </w:sdtContent>
          </w:sdt>
        </w:tc>
      </w:tr>
    </w:tbl>
    <w:p>
      <w:r>
        <w:br w:type="page"/>
      </w:r>
    </w:p>
    <w:p>
      <w:pPr>
        <w:spacing w:before="280" w:after="80"/>
        <w:pBdr>
          <w:bottom w:val="single" w:sz="6" w:space="1" w:color="1A1A2E"/>
        </w:pBdr>
      </w:pPr>
      <w:r>
        <w:rPr>
          <w:b/>
          <w:color w:val="1A1A2E"/>
          <w:sz w:val="26"/>
        </w:rPr>
        <w:t>7. IPOTESI DI TEST</w:t>
      </w:r>
    </w:p>
    <w:p>
      <w:pPr>
        <w:spacing w:before="40" w:after="80"/>
      </w:pPr>
      <w:r>
        <w:rPr>
          <w:i/>
          <w:color w:val="666666"/>
          <w:sz w:val="16"/>
        </w:rPr>
        <w:t>Per ogni ipotesi: challenge (che cosa metti alla prova), seed (il dato di partenza), mutazione (che cosa cambi), invariante (che cosa deve restare vero) ed esito atteso (che cosa deve produrre il workflow).</w:t>
      </w:r>
    </w:p>
    <w:p>
      <w:pPr>
        <w:spacing w:before="40" w:after="80"/>
      </w:pPr>
      <w:r>
        <w:rPr>
          <w:i/>
          <w:color w:val="666666"/>
          <w:sz w:val="16"/>
        </w:rPr>
        <w:t>La prima riga è l'ipotesi più rischiosa: quella che, se falsa, rende inutile il resto. L'esito atteso si scrive prima di eseguire ed entra nel freeze: non si corregge dopo aver visto il risultato. Almeno una riga obbligatoria; una riga iniziata va completata in tutti e cinque i campi.</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14"/>
            <w:shd w:val="clear" w:color="auto" w:fill="1A1A2E"/>
          </w:tcPr>
          <w:p>
            <w:r>
              <w:rPr>
                <w:b/>
                <w:color w:val="FFFFFF"/>
                <w:sz w:val="16"/>
              </w:rPr>
              <w:t>Challenge</w:t>
            </w:r>
          </w:p>
        </w:tc>
        <w:tc>
          <w:tcPr>
            <w:tcW w:type="dxa" w:w="1474"/>
            <w:shd w:val="clear" w:color="auto" w:fill="1A1A2E"/>
          </w:tcPr>
          <w:p>
            <w:r>
              <w:rPr>
                <w:b/>
                <w:color w:val="FFFFFF"/>
                <w:sz w:val="16"/>
              </w:rPr>
              <w:t>Seed</w:t>
            </w:r>
          </w:p>
        </w:tc>
        <w:tc>
          <w:tcPr>
            <w:tcW w:type="dxa" w:w="1814"/>
            <w:shd w:val="clear" w:color="auto" w:fill="1A1A2E"/>
          </w:tcPr>
          <w:p>
            <w:r>
              <w:rPr>
                <w:b/>
                <w:color w:val="FFFFFF"/>
                <w:sz w:val="16"/>
              </w:rPr>
              <w:t>Mutazione</w:t>
            </w:r>
          </w:p>
        </w:tc>
        <w:tc>
          <w:tcPr>
            <w:tcW w:type="dxa" w:w="1928"/>
            <w:shd w:val="clear" w:color="auto" w:fill="1A1A2E"/>
          </w:tcPr>
          <w:p>
            <w:r>
              <w:rPr>
                <w:b/>
                <w:color w:val="FFFFFF"/>
                <w:sz w:val="16"/>
              </w:rPr>
              <w:t>Invariante</w:t>
            </w:r>
          </w:p>
        </w:tc>
        <w:tc>
          <w:tcPr>
            <w:tcW w:type="dxa" w:w="2041"/>
            <w:shd w:val="clear" w:color="auto" w:fill="1A1A2E"/>
          </w:tcPr>
          <w:p>
            <w:r>
              <w:rPr>
                <w:b/>
                <w:color w:val="FFFFFF"/>
                <w:sz w:val="16"/>
              </w:rPr>
              <w:t>Esito atteso</w:t>
            </w:r>
          </w:p>
        </w:tc>
      </w:tr>
      <w:tr>
        <w:tc>
          <w:tcPr>
            <w:tcW w:type="dxa" w:w="1814"/>
          </w:tcPr>
          <w:sdt>
            <w:sdtPr>
              <w:alias w:val="Test 1 — challenge"/>
              <w:tag w:val="design.tests.1.challenge"/>
            </w:sdtPr>
            <w:sdtContent>
              <w:p>
                <w:r>
                  <w:rPr>
                    <w:sz w:val="18"/>
                  </w:rPr>
                  <w:t>Sala nel caso peggiore e soglia di spesa</w:t>
                </w:r>
              </w:p>
            </w:sdtContent>
          </w:sdt>
        </w:tc>
        <w:tc>
          <w:tcPr>
            <w:tcW w:type="dxa" w:w="1474"/>
          </w:tcPr>
          <w:sdt>
            <w:sdtPr>
              <w:alias w:val="Test 1 — seed"/>
              <w:tag w:val="design.tests.1.seed"/>
            </w:sdtPr>
            <w:sdtContent>
              <w:p>
                <w:r>
                  <w:rPr>
                    <w:sz w:val="18"/>
                  </w:rPr>
                  <w:t>richieste/01_WS-024.eml</w:t>
                </w:r>
              </w:p>
            </w:sdtContent>
          </w:sdt>
        </w:tc>
        <w:tc>
          <w:tcPr>
            <w:tcW w:type="dxa" w:w="1814"/>
          </w:tcPr>
          <w:sdt>
            <w:sdtPr>
              <w:alias w:val="Test 1 — mutazione"/>
              <w:tag w:val="design.tests.1.mutation"/>
            </w:sdtPr>
            <w:sdtContent>
              <w:p>
                <w:r>
                  <w:rPr>
                    <w:sz w:val="18"/>
                  </w:rPr>
                  <w:t>Nessuna: richiesta originale, 2 modalità mancanti, stima 480 + 120</w:t>
                </w:r>
              </w:p>
            </w:sdtContent>
          </w:sdt>
        </w:tc>
        <w:tc>
          <w:tcPr>
            <w:tcW w:type="dxa" w:w="1928"/>
          </w:tcPr>
          <w:sdt>
            <w:sdtPr>
              <w:alias w:val="Test 1 — invariante"/>
              <w:tag w:val="design.tests.1.invariant"/>
            </w:sdtPr>
            <w:sdtContent>
              <w:p>
                <w:r>
                  <w:rPr>
                    <w:sz w:val="18"/>
                  </w:rPr>
                  <w:t>Nessuna sala sotto il caso peggiore; nessuna attivazione oltre 500 senza approvazione</w:t>
                </w:r>
              </w:p>
            </w:sdtContent>
          </w:sdt>
        </w:tc>
        <w:tc>
          <w:tcPr>
            <w:tcW w:type="dxa" w:w="2041"/>
          </w:tcPr>
          <w:sdt>
            <w:sdtPr>
              <w:alias w:val="Test 1 — esito atteso"/>
              <w:tag w:val="design.tests.1.expected"/>
            </w:sdtPr>
            <w:sdtContent>
              <w:p>
                <w:r>
                  <w:rPr>
                    <w:sz w:val="18"/>
                  </w:rPr>
                  <w:t>Orione scartata (16 posti ibridi, ne servono 17); Sala Vega giovedì 15/10 mattina; WAITING_FOR_APPROVAL, owner Responsabile Budget</w:t>
                </w:r>
              </w:p>
            </w:sdtContent>
          </w:sdt>
        </w:tc>
      </w:tr>
      <w:tr>
        <w:tc>
          <w:tcPr>
            <w:tcW w:type="dxa" w:w="1814"/>
          </w:tcPr>
          <w:sdt>
            <w:sdtPr>
              <w:alias w:val="Test 2 — challenge"/>
              <w:tag w:val="design.tests.2.challenge"/>
            </w:sdtPr>
            <w:sdtContent>
              <w:p>
                <w:r>
                  <w:rPr>
                    <w:sz w:val="18"/>
                  </w:rPr>
                  <w:t>Reinvio della stessa richiesta</w:t>
                </w:r>
              </w:p>
            </w:sdtContent>
          </w:sdt>
        </w:tc>
        <w:tc>
          <w:tcPr>
            <w:tcW w:type="dxa" w:w="1474"/>
          </w:tcPr>
          <w:sdt>
            <w:sdtPr>
              <w:alias w:val="Test 2 — seed"/>
              <w:tag w:val="design.tests.2.seed"/>
            </w:sdtPr>
            <w:sdtContent>
              <w:p>
                <w:r>
                  <w:rPr>
                    <w:sz w:val="18"/>
                  </w:rPr>
                  <w:t>richieste/03_WS-024_reinvio.eml, dopo la 01</w:t>
                </w:r>
              </w:p>
            </w:sdtContent>
          </w:sdt>
        </w:tc>
        <w:tc>
          <w:tcPr>
            <w:tcW w:type="dxa" w:w="1814"/>
          </w:tcPr>
          <w:sdt>
            <w:sdtPr>
              <w:alias w:val="Test 2 — mutazione"/>
              <w:tag w:val="design.tests.2.mutation"/>
            </w:sdtPr>
            <w:sdtContent>
              <w:p>
                <w:r>
                  <w:rPr>
                    <w:sz w:val="18"/>
                  </w:rPr>
                  <w:t>Nuovo Message-ID, References e In-Reply-To all'originale</w:t>
                </w:r>
              </w:p>
            </w:sdtContent>
          </w:sdt>
        </w:tc>
        <w:tc>
          <w:tcPr>
            <w:tcW w:type="dxa" w:w="1928"/>
          </w:tcPr>
          <w:sdt>
            <w:sdtPr>
              <w:alias w:val="Test 2 — invariante"/>
              <w:tag w:val="design.tests.2.invariant"/>
            </w:sdtPr>
            <w:sdtContent>
              <w:p>
                <w:r>
                  <w:rPr>
                    <w:sz w:val="18"/>
                  </w:rPr>
                  <w:t>Un solo caso e una sola richiesta di approvazione per WS-024</w:t>
                </w:r>
              </w:p>
            </w:sdtContent>
          </w:sdt>
        </w:tc>
        <w:tc>
          <w:tcPr>
            <w:tcW w:type="dxa" w:w="2041"/>
          </w:tcPr>
          <w:sdt>
            <w:sdtPr>
              <w:alias w:val="Test 2 — esito atteso"/>
              <w:tag w:val="design.tests.2.expected"/>
            </w:sdtPr>
            <w:sdtContent>
              <w:p>
                <w:r>
                  <w:rPr>
                    <w:sz w:val="18"/>
                  </w:rPr>
                  <w:t>Collegata a WS-024; nessun caso nuovo; nessuna seconda richiesta di approvazione</w:t>
                </w:r>
              </w:p>
            </w:sdtContent>
          </w:sdt>
        </w:tc>
      </w:tr>
      <w:tr>
        <w:tc>
          <w:tcPr>
            <w:tcW w:type="dxa" w:w="1814"/>
          </w:tcPr>
          <w:sdt>
            <w:sdtPr>
              <w:alias w:val="Test 3 — challenge"/>
              <w:tag w:val="design.tests.3.challenge"/>
            </w:sdtPr>
            <w:sdtContent>
              <w:p>
                <w:r>
                  <w:rPr>
                    <w:sz w:val="18"/>
                  </w:rPr>
                  <w:t>Workshop piccolo sotto soglia</w:t>
                </w:r>
              </w:p>
            </w:sdtContent>
          </w:sdt>
        </w:tc>
        <w:tc>
          <w:tcPr>
            <w:tcW w:type="dxa" w:w="1474"/>
          </w:tcPr>
          <w:sdt>
            <w:sdtPr>
              <w:alias w:val="Test 3 — seed"/>
              <w:tag w:val="design.tests.3.seed"/>
            </w:sdtPr>
            <w:sdtContent>
              <w:p>
                <w:r>
                  <w:rPr>
                    <w:sz w:val="18"/>
                  </w:rPr>
                  <w:t>richieste/02_WS-031.eml con fonti/participants_WS031.csv</w:t>
                </w:r>
              </w:p>
            </w:sdtContent>
          </w:sdt>
        </w:tc>
        <w:tc>
          <w:tcPr>
            <w:tcW w:type="dxa" w:w="1814"/>
          </w:tcPr>
          <w:sdt>
            <w:sdtPr>
              <w:alias w:val="Test 3 — mutazione"/>
              <w:tag w:val="design.tests.3.mutation"/>
            </w:sdtPr>
            <w:sdtContent>
              <w:p>
                <w:r>
                  <w:rPr>
                    <w:sz w:val="18"/>
                  </w:rPr>
                  <w:t>8 persone in presenza, docente interno, assistenza AV: stima 120</w:t>
                </w:r>
              </w:p>
            </w:sdtContent>
          </w:sdt>
        </w:tc>
        <w:tc>
          <w:tcPr>
            <w:tcW w:type="dxa" w:w="1928"/>
          </w:tcPr>
          <w:sdt>
            <w:sdtPr>
              <w:alias w:val="Test 3 — invariante"/>
              <w:tag w:val="design.tests.3.invariant"/>
            </w:sdtPr>
            <w:sdtContent>
              <w:p>
                <w:r>
                  <w:rPr>
                    <w:sz w:val="18"/>
                  </w:rPr>
                  <w:t>L'approvazione si chiede solo oltre 500</w:t>
                </w:r>
              </w:p>
            </w:sdtContent>
          </w:sdt>
        </w:tc>
        <w:tc>
          <w:tcPr>
            <w:tcW w:type="dxa" w:w="2041"/>
          </w:tcPr>
          <w:sdt>
            <w:sdtPr>
              <w:alias w:val="Test 3 — esito atteso"/>
              <w:tag w:val="design.tests.3.expected"/>
            </w:sdtPr>
            <w:sdtContent>
              <w:p>
                <w:r>
                  <w:rPr>
                    <w:sz w:val="18"/>
                  </w:rPr>
                  <w:t>Sala Orione martedì 13/10 pomeriggio; READY_TO_ACTIVATE senza richiesta di approvazione</w:t>
                </w:r>
              </w:p>
            </w:sdtContent>
          </w:sdt>
        </w:tc>
      </w:tr>
      <w:tr>
        <w:tc>
          <w:tcPr>
            <w:tcW w:type="dxa" w:w="1814"/>
          </w:tcPr>
          <w:sdt>
            <w:sdtPr>
              <w:alias w:val="Test 4 — challenge"/>
              <w:tag w:val="design.tests.4.challenge"/>
            </w:sdtPr>
            <w:sdtContent>
              <w:p>
                <w:r>
                  <w:rPr>
                    <w:sz w:val="18"/>
                  </w:rPr>
                  <w:t>[scrivi qui]</w:t>
                </w:r>
              </w:p>
            </w:sdtContent>
          </w:sdt>
        </w:tc>
        <w:tc>
          <w:tcPr>
            <w:tcW w:type="dxa" w:w="1474"/>
          </w:tcPr>
          <w:sdt>
            <w:sdtPr>
              <w:alias w:val="Test 4 — seed"/>
              <w:tag w:val="design.tests.4.seed"/>
            </w:sdtPr>
            <w:sdtContent>
              <w:p>
                <w:r>
                  <w:rPr>
                    <w:sz w:val="18"/>
                  </w:rPr>
                  <w:t>[scrivi qui]</w:t>
                </w:r>
              </w:p>
            </w:sdtContent>
          </w:sdt>
        </w:tc>
        <w:tc>
          <w:tcPr>
            <w:tcW w:type="dxa" w:w="1814"/>
          </w:tcPr>
          <w:sdt>
            <w:sdtPr>
              <w:alias w:val="Test 4 — mutazione"/>
              <w:tag w:val="design.tests.4.mutation"/>
            </w:sdtPr>
            <w:sdtContent>
              <w:p>
                <w:r>
                  <w:rPr>
                    <w:sz w:val="18"/>
                  </w:rPr>
                  <w:t>[scrivi qui]</w:t>
                </w:r>
              </w:p>
            </w:sdtContent>
          </w:sdt>
        </w:tc>
        <w:tc>
          <w:tcPr>
            <w:tcW w:type="dxa" w:w="1928"/>
          </w:tcPr>
          <w:sdt>
            <w:sdtPr>
              <w:alias w:val="Test 4 — invariante"/>
              <w:tag w:val="design.tests.4.invariant"/>
            </w:sdtPr>
            <w:sdtContent>
              <w:p>
                <w:r>
                  <w:rPr>
                    <w:sz w:val="18"/>
                  </w:rPr>
                  <w:t>[scrivi qui]</w:t>
                </w:r>
              </w:p>
            </w:sdtContent>
          </w:sdt>
        </w:tc>
        <w:tc>
          <w:tcPr>
            <w:tcW w:type="dxa" w:w="2041"/>
          </w:tcPr>
          <w:sdt>
            <w:sdtPr>
              <w:alias w:val="Test 4 — esito atteso"/>
              <w:tag w:val="design.tests.4.expected"/>
            </w:sdtPr>
            <w:sdtContent>
              <w:p>
                <w:r>
                  <w:rPr>
                    <w:sz w:val="18"/>
                  </w:rPr>
                  <w:t>[scrivi qui]</w:t>
                </w:r>
              </w:p>
            </w:sdtContent>
          </w:sdt>
        </w:tc>
      </w:tr>
    </w:tbl>
    <w:p>
      <w:r>
        <w:br w:type="page"/>
      </w:r>
    </w:p>
    <w:p>
      <w:pPr>
        <w:spacing w:before="280" w:after="80"/>
        <w:pBdr>
          <w:bottom w:val="single" w:sz="6" w:space="1" w:color="1A1A2E"/>
        </w:pBdr>
      </w:pPr>
      <w:r>
        <w:rPr>
          <w:b/>
          <w:color w:val="1A1A2E"/>
          <w:sz w:val="26"/>
        </w:rPr>
        <w:t>8. DIARIO DI LABORATORIO</w:t>
      </w:r>
      <w:r>
        <w:rPr>
          <w:b/>
          <w:color w:val="B55248"/>
          <w:sz w:val="18"/>
        </w:rPr>
        <w:t xml:space="preserve">  [non congelato — aggiornabile dopo il freeze]</w:t>
      </w:r>
    </w:p>
    <w:p>
      <w:pPr>
        <w:spacing w:before="40" w:after="80"/>
      </w:pPr>
      <w:r>
        <w:rPr>
          <w:i/>
          <w:color w:val="666666"/>
          <w:sz w:val="16"/>
        </w:rPr>
        <w:t>Questa sezione non entra nell'hash del design. Registra risultati dei test, modifiche post-freeze e rischi residui.</w:t>
      </w:r>
    </w:p>
    <w:p>
      <w:pPr>
        <w:spacing w:before="160" w:after="40"/>
      </w:pPr>
      <w:r>
        <w:rPr>
          <w:b/>
          <w:color w:val="2B4590"/>
          <w:sz w:val="20"/>
        </w:rPr>
        <w:t>Risultati test e modifiche</w:t>
      </w:r>
    </w:p>
    <w:sdt>
      <w:sdtPr>
        <w:alias w:val="Risultati test"/>
        <w:tag w:val="lab_record.test_results"/>
      </w:sdtPr>
      <w:sdtContent>
        <w:p>
          <w:r>
            <w:rPr>
              <w:sz w:val="20"/>
            </w:rPr>
            <w:t>Esiti di riferimento delle tre richieste di prova, nell'ordine 01, 02, 03: WS-024 → Sala Vega giovedì 15/10 mattina, WAITING_FOR_APPROVAL (stima 600); WS-031 → Sala Orione martedì 13/10 pomeriggio, READY_TO_ACTIVATE (stima 120); reinvio → collegato a WS-024, nessun caso nuovo. Ogni esito si spiega con una riga di questo documento.</w:t>
          </w:r>
        </w:p>
      </w:sdtContent>
    </w:sdt>
    <w:p>
      <w:pPr>
        <w:spacing w:before="160" w:after="40"/>
      </w:pPr>
      <w:r>
        <w:rPr>
          <w:b/>
          <w:color w:val="2B4590"/>
          <w:sz w:val="20"/>
        </w:rPr>
        <w:t>Rischi residui</w:t>
      </w:r>
    </w:p>
    <w:sdt>
      <w:sdtPr>
        <w:alias w:val="Rischi residui"/>
        <w:tag w:val="lab_record.residual_risks"/>
      </w:sdtPr>
      <w:sdtContent>
        <w:p>
          <w:r>
            <w:rPr>
              <w:sz w:val="20"/>
            </w:rPr>
            <w:t>1. Lo snapshot sale è del 2 settembre: se cambia dopo la proposta il caso torna a valutazione (regola 9), e le prove non lo coprono. 2. Le due modalità mancanti di WS-024 vanno chiarite prima della conferma finale. 3. L'accesso dei due esterni di WS-024 resta un'attività aperta finché il Referente Sede non conferma. 4. La stima usa solo le voci del Servizio Spazi: un costo diverso va dichiarato nella richiesta.</w:t>
          </w:r>
        </w:p>
      </w:sdtContent>
    </w:sdt>
    <w:p>
      <w:pPr>
        <w:spacing w:before="160" w:after="40"/>
      </w:pPr>
      <w:r>
        <w:rPr>
          <w:b/>
          <w:color w:val="2B4590"/>
          <w:sz w:val="20"/>
        </w:rPr>
        <w:t>Note post-mortem</w:t>
      </w:r>
    </w:p>
    <w:sdt>
      <w:sdtPr>
        <w:alias w:val="Note post-mortem"/>
        <w:tag w:val="lab_record.postmortem_notes"/>
      </w:sdtPr>
      <w:sdtContent>
        <w:p>
          <w:r>
            <w:rPr>
              <w:sz w:val="20"/>
            </w:rPr>
            <w:t>Tre gate su quattro nascono dalla colonna «Dove si perde» del processo attuale: deduplica, sala e spesa.</w:t>
          </w:r>
        </w:p>
      </w:sdtContent>
    </w:sdt>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