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before="0" w:after="0"/>
        <w:jc w:val="center"/>
      </w:pPr>
      <w:r>
        <w:rPr>
          <w:rFonts w:ascii="Arial" w:cs="Arial" w:eastAsia="Arial" w:hAnsi="Arial"/>
          <w:b/>
          <w:bCs/>
          <w:color w:val="C9A84C"/>
          <w:sz w:val="20"/>
          <w:szCs w:val="20"/>
        </w:rPr>
        <w:t xml:space="preserve">  INITIATION OF COVERAGE  </w:t>
      </w:r>
    </w:p>
    <w:p>
      <w:pPr>
        <w:spacing w:before="0" w:after="80"/>
        <w:jc w:val="center"/>
      </w:pPr>
      <w:r>
        <w:rPr>
          <w:rFonts w:ascii="Arial" w:cs="Arial" w:eastAsia="Arial" w:hAnsi="Arial"/>
          <w:color w:val="808080"/>
          <w:sz w:val="16"/>
          <w:szCs w:val="16"/>
        </w:rPr>
        <w:t xml:space="preserve">NVDA  ·  NASDAQ  ·  Semiconductors  ·  March 2, 2026</w:t>
      </w:r>
    </w:p>
    <w:p>
      <w:pPr>
        <w:spacing w:before="120" w:after="20"/>
        <w:jc w:val="left"/>
      </w:pPr>
      <w:r>
        <w:rPr>
          <w:rFonts w:ascii="Arial" w:cs="Arial" w:eastAsia="Arial" w:hAnsi="Arial"/>
          <w:b/>
          <w:bCs/>
          <w:color w:val="1F3864"/>
          <w:sz w:val="48"/>
          <w:szCs w:val="48"/>
        </w:rPr>
        <w:t xml:space="preserve">NVIDIA Corporation</w:t>
      </w:r>
    </w:p>
    <w:p>
      <w:pPr>
        <w:spacing w:before="0" w:after="160"/>
        <w:jc w:val="left"/>
      </w:pPr>
      <w:r>
        <w:rPr>
          <w:rFonts w:ascii="Arial" w:cs="Arial" w:eastAsia="Arial" w:hAnsi="Arial"/>
          <w:color w:val="C9A84C"/>
          <w:sz w:val="20"/>
          <w:szCs w:val="20"/>
        </w:rPr>
        <w:t xml:space="preserve">"The Indispensable Infrastructure of the AI Era — Dominant, Expanding, and Still Early"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Rating</w:t>
            </w:r>
          </w:p>
        </w:tc>
        <w:tc>
          <w:tcPr>
            <w:tcW w:type="dxa" w:w="2340"/>
            <w:gridSpan w:val="1"/>
            <w:tcBorders>
              <w:top w:val="single" w:color="C9A84C" w:sz="6"/>
              <w:left w:val="single" w:color="C9A84C" w:sz="6"/>
              <w:bottom w:val="single" w:color="C9A84C" w:sz="6"/>
              <w:right w:val="single" w:color="C9A84C" w:sz="6"/>
            </w:tcBorders>
            <w:shd w:fill="C9A84C" w:val="clear"/>
            <w:tcMar>
              <w:top w:type="dxa" w:w="80"/>
              <w:left w:type="dxa" w:w="120"/>
              <w:bottom w:type="dxa" w:w="80"/>
              <w:right w:type="dxa" w:w="120"/>
            </w:tcMar>
            <w:vAlign w:val="center"/>
          </w:tcPr>
          <w:p>
            <w:pPr>
              <w:jc w:val="left"/>
            </w:pPr>
            <w:r>
              <w:rPr>
                <w:rFonts w:ascii="Arial" w:cs="Arial" w:eastAsia="Arial" w:hAnsi="Arial"/>
                <w:b/>
                <w:bCs/>
                <w:color w:val="FFFFFF"/>
                <w:sz w:val="28"/>
                <w:szCs w:val="28"/>
              </w:rPr>
              <w:t xml:space="preserve">BUY</w:t>
            </w:r>
          </w:p>
        </w:tc>
        <w:tc>
          <w:tcPr>
            <w:tcW w:type="dxa" w:w="234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Price Target ($)</w:t>
            </w:r>
          </w:p>
        </w:tc>
        <w:tc>
          <w:tcPr>
            <w:tcW w:type="dxa" w:w="2340"/>
            <w:gridSpan w:val="1"/>
            <w:tcBorders>
              <w:top w:val="single" w:color="C9A84C" w:sz="6"/>
              <w:left w:val="single" w:color="C9A84C" w:sz="6"/>
              <w:bottom w:val="single" w:color="C9A84C" w:sz="6"/>
              <w:right w:val="single" w:color="C9A84C" w:sz="6"/>
            </w:tcBorders>
            <w:shd w:fill="FFF2CC" w:val="clear"/>
            <w:tcMar>
              <w:top w:type="dxa" w:w="80"/>
              <w:left w:type="dxa" w:w="120"/>
              <w:bottom w:type="dxa" w:w="80"/>
              <w:right w:type="dxa" w:w="120"/>
            </w:tcMar>
            <w:vAlign w:val="center"/>
          </w:tcPr>
          <w:p>
            <w:pPr>
              <w:jc w:val="left"/>
            </w:pPr>
            <w:r>
              <w:rPr>
                <w:rFonts w:ascii="Arial" w:cs="Arial" w:eastAsia="Arial" w:hAnsi="Arial"/>
                <w:b/>
                <w:bCs/>
                <w:color w:val="1F3864"/>
                <w:sz w:val="28"/>
                <w:szCs w:val="28"/>
              </w:rPr>
              <w:t xml:space="preserve">$215</w:t>
            </w:r>
          </w:p>
        </w:tc>
      </w:tr>
      <w:tr>
        <w:tc>
          <w:tcPr>
            <w:tcW w:type="dxa" w:w="2340"/>
            <w:gridSpan w:val="1"/>
            <w:tcBorders>
              <w:top w:val="single" w:color="D9D9D9" w:sz="6"/>
              <w:left w:val="single" w:color="D9D9D9" w:sz="6"/>
              <w:bottom w:val="single" w:color="D9D9D9" w:sz="6"/>
              <w:right w:val="single" w:color="D9D9D9" w:sz="6"/>
            </w:tcBorders>
            <w:shd w:fill="D9E2F3"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Current Price ($)</w:t>
            </w:r>
          </w:p>
        </w:tc>
        <w:tc>
          <w:tcPr>
            <w:tcW w:type="dxa" w:w="234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$181.41</w:t>
            </w:r>
          </w:p>
        </w:tc>
        <w:tc>
          <w:tcPr>
            <w:tcW w:type="dxa" w:w="2340"/>
            <w:gridSpan w:val="1"/>
            <w:tcBorders>
              <w:top w:val="single" w:color="D9D9D9" w:sz="6"/>
              <w:left w:val="single" w:color="D9D9D9" w:sz="6"/>
              <w:bottom w:val="single" w:color="D9D9D9" w:sz="6"/>
              <w:right w:val="single" w:color="D9D9D9" w:sz="6"/>
            </w:tcBorders>
            <w:shd w:fill="D9E2F3"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Implied Upside</w:t>
            </w:r>
          </w:p>
        </w:tc>
        <w:tc>
          <w:tcPr>
            <w:tcW w:type="dxa" w:w="234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left"/>
            </w:pPr>
            <w:r>
              <w:rPr>
                <w:rFonts w:ascii="Arial" w:cs="Arial" w:eastAsia="Arial" w:hAnsi="Arial"/>
                <w:b/>
                <w:bCs/>
                <w:color w:val="375623"/>
                <w:sz w:val="20"/>
                <w:szCs w:val="20"/>
              </w:rPr>
              <w:t xml:space="preserve">+18.6%</w:t>
            </w:r>
          </w:p>
        </w:tc>
      </w:tr>
      <w:tr>
        <w:tc>
          <w:tcPr>
            <w:tcW w:type="dxa" w:w="2340"/>
            <w:gridSpan w:val="1"/>
            <w:tcBorders>
              <w:top w:val="single" w:color="D9D9D9" w:sz="6"/>
              <w:left w:val="single" w:color="D9D9D9" w:sz="6"/>
              <w:bottom w:val="single" w:color="D9D9D9" w:sz="6"/>
              <w:right w:val="single" w:color="D9D9D9" w:sz="6"/>
            </w:tcBorders>
            <w:shd w:fill="D9E2F3"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Market Cap</w:t>
            </w:r>
          </w:p>
        </w:tc>
        <w:tc>
          <w:tcPr>
            <w:tcW w:type="dxa" w:w="234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~$4.4 Trillion</w:t>
            </w:r>
          </w:p>
        </w:tc>
        <w:tc>
          <w:tcPr>
            <w:tcW w:type="dxa" w:w="2340"/>
            <w:gridSpan w:val="1"/>
            <w:tcBorders>
              <w:top w:val="single" w:color="D9D9D9" w:sz="6"/>
              <w:left w:val="single" w:color="D9D9D9" w:sz="6"/>
              <w:bottom w:val="single" w:color="D9D9D9" w:sz="6"/>
              <w:right w:val="single" w:color="D9D9D9" w:sz="6"/>
            </w:tcBorders>
            <w:shd w:fill="D9E2F3"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52-Week Range</w:t>
            </w:r>
          </w:p>
        </w:tc>
        <w:tc>
          <w:tcPr>
            <w:tcW w:type="dxa" w:w="234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$86.62 – $212.19</w:t>
            </w:r>
          </w:p>
        </w:tc>
      </w:tr>
      <w:tr>
        <w:tc>
          <w:tcPr>
            <w:tcW w:type="dxa" w:w="2340"/>
            <w:gridSpan w:val="1"/>
            <w:tcBorders>
              <w:top w:val="single" w:color="D9D9D9" w:sz="6"/>
              <w:left w:val="single" w:color="D9D9D9" w:sz="6"/>
              <w:bottom w:val="single" w:color="D9D9D9" w:sz="6"/>
              <w:right w:val="single" w:color="D9D9D9" w:sz="6"/>
            </w:tcBorders>
            <w:shd w:fill="D9E2F3"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Report Date</w:t>
            </w:r>
          </w:p>
        </w:tc>
        <w:tc>
          <w:tcPr>
            <w:tcW w:type="dxa" w:w="234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March 2, 2026</w:t>
            </w:r>
          </w:p>
        </w:tc>
        <w:tc>
          <w:tcPr>
            <w:tcW w:type="dxa" w:w="2340"/>
            <w:gridSpan w:val="1"/>
            <w:tcBorders>
              <w:top w:val="single" w:color="D9D9D9" w:sz="6"/>
              <w:left w:val="single" w:color="D9D9D9" w:sz="6"/>
              <w:bottom w:val="single" w:color="D9D9D9" w:sz="6"/>
              <w:right w:val="single" w:color="D9D9D9" w:sz="6"/>
            </w:tcBorders>
            <w:shd w:fill="D9E2F3"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Analyst</w:t>
            </w:r>
          </w:p>
        </w:tc>
        <w:tc>
          <w:tcPr>
            <w:tcW w:type="dxa" w:w="234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Equity Research Division</w:t>
            </w:r>
          </w:p>
        </w:tc>
      </w:tr>
    </w:tbl>
    <w:p>
      <w:pPr>
        <w:spacing w:before="120" w:after="0"/>
      </w:pPr>
    </w:p>
    <w:p>
      <w:pPr>
        <w:pBdr>
          <w:top w:val="single" w:color="C9A84C" w:sz="12"/>
          <w:left w:val="single" w:color="C9A84C" w:sz="12"/>
        </w:pBdr>
        <w:shd w:fill="FFF2CC" w:val="clear"/>
        <w:spacing w:before="0" w:after="0"/>
      </w:pPr>
      <w:r>
        <w:rPr>
          <w:rFonts w:ascii="Arial" w:cs="Arial" w:eastAsia="Arial" w:hAnsi="Arial"/>
          <w:b/>
          <w:bCs/>
          <w:color w:val="1F3864"/>
          <w:sz w:val="20"/>
          <w:szCs w:val="20"/>
        </w:rPr>
        <w:t xml:space="preserve">  INVESTMENT THESIS SUMMARY</w:t>
      </w:r>
    </w:p>
    <w:p>
      <w:pPr>
        <w:pBdr>
          <w:left w:val="single" w:color="C9A84C" w:sz="12"/>
          <w:bottom w:val="single" w:color="C9A84C" w:sz="12"/>
        </w:pBdr>
        <w:shd w:fill="FFF2CC" w:val="clear"/>
        <w:spacing w:before="60" w:after="160"/>
        <w:ind w:left="200"/>
      </w:pPr>
      <w:r>
        <w:rPr>
          <w:rFonts w:ascii="Arial" w:cs="Arial" w:eastAsia="Arial" w:hAnsi="Arial"/>
          <w:color w:val="404040"/>
          <w:sz w:val="17"/>
          <w:szCs w:val="17"/>
        </w:rPr>
        <w:t xml:space="preserve">NVIDIA is the irreplaceable backbone of the global AI infrastructure buildout. The company generated $130.5 billion in revenue and $72.9 billion in net income in FY2025 — growing 114% and 145% year-over-year respectively — driven by insatiable demand for its Hopper GPU architecture from hyperscalers and AI-native companies. We believe the market underappreciates three dimensions of durability: (1) CUDA's 20-year software moat creates multi-year switching costs that transcend hardware cycles; (2) the Blackwell/Rubin GPU transition extends NVDA's AI processing performance lead by 2–4x, locking in next-generation capex; and (3) the emerging inference, agentic AI, and physical AI (automotive, robotics) markets represent incremental TAMs worth trillions. At 38x NTM P/E and a ~$215 blended price target, we initiate with a BUY rating and +18.6% upside.</w:t>
      </w:r>
    </w:p>
    <w:p/>
    <w:p>
      <w:pPr>
        <w:pStyle w:val="Heading1"/>
        <w:pBdr>
          <w:bottom w:val="single" w:color="1F3864" w:sz="12"/>
        </w:pBdr>
        <w:spacing w:before="240" w:after="120"/>
      </w:pPr>
      <w:r>
        <w:rPr>
          <w:rFonts w:ascii="Arial" w:cs="Arial" w:eastAsia="Arial" w:hAnsi="Arial"/>
          <w:b/>
          <w:bCs/>
          <w:color w:val="1F3864"/>
          <w:sz w:val="26"/>
          <w:szCs w:val="26"/>
        </w:rPr>
        <w:t xml:space="preserve">1.  COMPANY OVERVIEW</w:t>
      </w:r>
    </w:p>
    <w:p>
      <w:pPr>
        <w:pStyle w:val="Heading2"/>
        <w:spacing w:before="180" w:after="80"/>
      </w:pPr>
      <w:r>
        <w:rPr>
          <w:rFonts w:ascii="Arial" w:cs="Arial" w:eastAsia="Arial" w:hAnsi="Arial"/>
          <w:b/>
          <w:bCs/>
          <w:color w:val="2E4A6B"/>
          <w:sz w:val="22"/>
          <w:szCs w:val="22"/>
        </w:rPr>
        <w:t xml:space="preserve">Business Description</w:t>
      </w:r>
    </w:p>
    <w:p>
      <w:pPr>
        <w:spacing w:before="60" w:after="80"/>
        <w:ind/>
        <w:jc w:val="left"/>
      </w:pPr>
      <w:r>
        <w:rPr>
          <w:rFonts w:ascii="Arial" w:cs="Arial" w:eastAsia="Arial" w:hAnsi="Arial"/>
          <w:b w:val="false"/>
          <w:bCs w:val="false"/>
          <w:color w:val="000000"/>
          <w:sz w:val="18"/>
          <w:szCs w:val="18"/>
        </w:rPr>
        <w:t xml:space="preserve">NVIDIA Corporation (Nasdaq: NVDA) is a full-stack computing infrastructure company headquartered in Santa Clara, California, founded in 1993. The company pioneered the graphics processing unit (GPU) in 1999 and has since transformed the GPU into the essential compute engine for artificial intelligence, data center workloads, gaming, and scientific computing. NVDA's product portfolio spans semiconductors (GPUs, DPUs, networking chips), software (CUDA programming model, hundreds of domain-specific SDKs), and systems (DGX, HGX, MGX AI servers). Revenue for the fiscal year ended January 26, 2025 was $130.5 billion, a 114% year-over-year increase driven predominantly by Data Center AI demand.</w:t>
      </w:r>
    </w:p>
    <w:p>
      <w:pPr>
        <w:spacing w:before="0" w:after="80"/>
        <w:ind/>
        <w:jc w:val="left"/>
      </w:pPr>
      <w:r>
        <w:rPr>
          <w:rFonts w:ascii="Arial" w:cs="Arial" w:eastAsia="Arial" w:hAnsi="Arial"/>
          <w:b w:val="false"/>
          <w:bCs w:val="false"/>
          <w:color w:val="000000"/>
          <w:sz w:val="18"/>
          <w:szCs w:val="18"/>
        </w:rPr>
        <w:t xml:space="preserve">The company's business model is hardware-led but increasingly platform-anchored. GPUs are sold via direct customer relationships with hyperscalers (Microsoft, Google, Amazon, Meta, Oracle) and through a network of system integrators and OEMs. The CUDA software stack — which now runs on 100% of NVIDIA GPUs and has accumulated over 4 million developers — creates powerful platform lock-in. Complementary products include InfiniBand and Ethernet networking (NVLink, Spectrum-X), NVIDIA AI Enterprise software (subscription-based), and DGX Cloud services. This multi-layer monetization positions NVDA to capture value across the entire AI infrastructure stack.</w:t>
      </w:r>
    </w:p>
    <w:p>
      <w:pPr>
        <w:spacing w:before="0" w:after="100"/>
        <w:ind/>
        <w:jc w:val="left"/>
      </w:pPr>
      <w:r>
        <w:rPr>
          <w:rFonts w:ascii="Arial" w:cs="Arial" w:eastAsia="Arial" w:hAnsi="Arial"/>
          <w:b w:val="false"/>
          <w:bCs w:val="false"/>
          <w:color w:val="000000"/>
          <w:sz w:val="18"/>
          <w:szCs w:val="18"/>
        </w:rPr>
        <w:t xml:space="preserve">NVIDIA operates in two reportable segments: Compute &amp; Networking and Graphics. The Compute &amp; Networking segment is now the dominant revenue driver, comprising 89% of FY2025 total revenue at $116.2 billion. This segment houses the Data Center business (Hopper, Blackwell architectures), networking products (InfiniBand, Ethernet), automotive platforms, and DGX Cloud. The Graphics segment generated $14.3 billion (11% of revenue) from GeForce gaming GPUs, professional visualization (RTX workstations), and related software. The company employs approximately 36,000 people globally and operates a fabless semiconductor model, relying on TSMC as its primary foundry partner.</w:t>
      </w:r>
    </w:p>
    <w:p>
      <w:pPr>
        <w:pStyle w:val="Heading2"/>
        <w:spacing w:before="180" w:after="80"/>
      </w:pPr>
      <w:r>
        <w:rPr>
          <w:rFonts w:ascii="Arial" w:cs="Arial" w:eastAsia="Arial" w:hAnsi="Arial"/>
          <w:b/>
          <w:bCs/>
          <w:color w:val="2E4A6B"/>
          <w:sz w:val="22"/>
          <w:szCs w:val="22"/>
        </w:rPr>
        <w:t xml:space="preserve">Business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200"/>
        <w:gridCol w:w="1800"/>
        <w:gridCol w:w="2760"/>
      </w:tblGrid>
      <w:tr>
        <w:tc>
          <w:tcPr>
            <w:tcW w:type="dxa" w:w="18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Segment</w:t>
            </w:r>
          </w:p>
        </w:tc>
        <w:tc>
          <w:tcPr>
            <w:tcW w:type="dxa" w:w="18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right"/>
            </w:pPr>
            <w:r>
              <w:rPr>
                <w:rFonts w:ascii="Arial" w:cs="Arial" w:eastAsia="Arial" w:hAnsi="Arial"/>
                <w:b/>
                <w:bCs/>
                <w:color w:val="FFFFFF"/>
                <w:sz w:val="16"/>
                <w:szCs w:val="16"/>
              </w:rPr>
              <w:t xml:space="preserve">FY2025 Revenue ($M)</w:t>
            </w:r>
          </w:p>
        </w:tc>
        <w:tc>
          <w:tcPr>
            <w:tcW w:type="dxa" w:w="12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right"/>
            </w:pPr>
            <w:r>
              <w:rPr>
                <w:rFonts w:ascii="Arial" w:cs="Arial" w:eastAsia="Arial" w:hAnsi="Arial"/>
                <w:b/>
                <w:bCs/>
                <w:color w:val="FFFFFF"/>
                <w:sz w:val="16"/>
                <w:szCs w:val="16"/>
              </w:rPr>
              <w:t xml:space="preserve">% of Total</w:t>
            </w:r>
          </w:p>
        </w:tc>
        <w:tc>
          <w:tcPr>
            <w:tcW w:type="dxa" w:w="18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right"/>
            </w:pPr>
            <w:r>
              <w:rPr>
                <w:rFonts w:ascii="Arial" w:cs="Arial" w:eastAsia="Arial" w:hAnsi="Arial"/>
                <w:b/>
                <w:bCs/>
                <w:color w:val="FFFFFF"/>
                <w:sz w:val="16"/>
                <w:szCs w:val="16"/>
              </w:rPr>
              <w:t xml:space="preserve">Segment Op. Income ($M)</w:t>
            </w:r>
          </w:p>
        </w:tc>
        <w:tc>
          <w:tcPr>
            <w:tcW w:type="dxa" w:w="276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Description</w:t>
            </w:r>
          </w:p>
        </w:tc>
      </w:tr>
      <w:tr>
        <w:tc>
          <w:tcPr>
            <w:tcW w:type="dxa" w:w="1800"/>
            <w:gridSpan w:val="1"/>
            <w:tcBorders>
              <w:top w:val="single" w:color="D9D9D9" w:sz="6"/>
              <w:left w:val="single" w:color="D9D9D9" w:sz="6"/>
              <w:bottom w:val="single" w:color="D9D9D9" w:sz="6"/>
              <w:right w:val="single" w:color="D9D9D9" w:sz="6"/>
            </w:tcBorders>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Compute &amp; Networking</w:t>
            </w:r>
          </w:p>
        </w:tc>
        <w:tc>
          <w:tcPr>
            <w:tcW w:type="dxa" w:w="1800"/>
            <w:gridSpan w:val="1"/>
            <w:tcBorders>
              <w:top w:val="single" w:color="D9D9D9" w:sz="6"/>
              <w:left w:val="single" w:color="D9D9D9" w:sz="6"/>
              <w:bottom w:val="single" w:color="D9D9D9" w:sz="6"/>
              <w:right w:val="single" w:color="D9D9D9" w:sz="6"/>
            </w:tcBorders>
            <w:tcMar>
              <w:top w:type="dxa" w:w="80"/>
              <w:left w:type="dxa" w:w="120"/>
              <w:bottom w:type="dxa" w:w="80"/>
              <w:right w:type="dxa" w:w="120"/>
            </w:tcMar>
            <w:vAlign w:val="center"/>
          </w:tcPr>
          <w:p>
            <w:pPr>
              <w:jc w:val="right"/>
            </w:pPr>
            <w:r>
              <w:rPr>
                <w:rFonts w:ascii="Arial" w:cs="Arial" w:eastAsia="Arial" w:hAnsi="Arial"/>
                <w:b w:val="false"/>
                <w:bCs w:val="false"/>
                <w:color w:val="000000"/>
                <w:sz w:val="16"/>
                <w:szCs w:val="16"/>
              </w:rPr>
              <w:t xml:space="preserve">$116,193</w:t>
            </w:r>
          </w:p>
        </w:tc>
        <w:tc>
          <w:tcPr>
            <w:tcW w:type="dxa" w:w="1200"/>
            <w:gridSpan w:val="1"/>
            <w:tcBorders>
              <w:top w:val="single" w:color="D9D9D9" w:sz="6"/>
              <w:left w:val="single" w:color="D9D9D9" w:sz="6"/>
              <w:bottom w:val="single" w:color="D9D9D9" w:sz="6"/>
              <w:right w:val="single" w:color="D9D9D9" w:sz="6"/>
            </w:tcBorders>
            <w:tcMar>
              <w:top w:type="dxa" w:w="80"/>
              <w:left w:type="dxa" w:w="120"/>
              <w:bottom w:type="dxa" w:w="80"/>
              <w:right w:type="dxa" w:w="120"/>
            </w:tcMar>
            <w:vAlign w:val="center"/>
          </w:tcPr>
          <w:p>
            <w:pPr>
              <w:jc w:val="right"/>
            </w:pPr>
            <w:r>
              <w:rPr>
                <w:rFonts w:ascii="Arial" w:cs="Arial" w:eastAsia="Arial" w:hAnsi="Arial"/>
                <w:b w:val="false"/>
                <w:bCs w:val="false"/>
                <w:color w:val="000000"/>
                <w:sz w:val="16"/>
                <w:szCs w:val="16"/>
              </w:rPr>
              <w:t xml:space="preserve">89.0%</w:t>
            </w:r>
          </w:p>
        </w:tc>
        <w:tc>
          <w:tcPr>
            <w:tcW w:type="dxa" w:w="1800"/>
            <w:gridSpan w:val="1"/>
            <w:tcBorders>
              <w:top w:val="single" w:color="D9D9D9" w:sz="6"/>
              <w:left w:val="single" w:color="D9D9D9" w:sz="6"/>
              <w:bottom w:val="single" w:color="D9D9D9" w:sz="6"/>
              <w:right w:val="single" w:color="D9D9D9" w:sz="6"/>
            </w:tcBorders>
            <w:tcMar>
              <w:top w:type="dxa" w:w="80"/>
              <w:left w:type="dxa" w:w="120"/>
              <w:bottom w:type="dxa" w:w="80"/>
              <w:right w:type="dxa" w:w="120"/>
            </w:tcMar>
            <w:vAlign w:val="center"/>
          </w:tcPr>
          <w:p>
            <w:pPr>
              <w:jc w:val="right"/>
            </w:pPr>
            <w:r>
              <w:rPr>
                <w:rFonts w:ascii="Arial" w:cs="Arial" w:eastAsia="Arial" w:hAnsi="Arial"/>
                <w:b w:val="false"/>
                <w:bCs w:val="false"/>
                <w:color w:val="000000"/>
                <w:sz w:val="16"/>
                <w:szCs w:val="16"/>
              </w:rPr>
              <w:t xml:space="preserve">$82,875</w:t>
            </w:r>
          </w:p>
        </w:tc>
        <w:tc>
          <w:tcPr>
            <w:tcW w:type="dxa" w:w="2760"/>
            <w:gridSpan w:val="1"/>
            <w:tcBorders>
              <w:top w:val="single" w:color="D9D9D9" w:sz="6"/>
              <w:left w:val="single" w:color="D9D9D9" w:sz="6"/>
              <w:bottom w:val="single" w:color="D9D9D9" w:sz="6"/>
              <w:right w:val="single" w:color="D9D9D9" w:sz="6"/>
            </w:tcBorders>
            <w:tcMar>
              <w:top w:type="dxa" w:w="80"/>
              <w:left w:type="dxa" w:w="120"/>
              <w:bottom w:type="dxa" w:w="80"/>
              <w:right w:type="dxa" w:w="120"/>
            </w:tcMar>
            <w:vAlign w:val="center"/>
          </w:tcPr>
          <w:p>
            <w:pPr>
              <w:jc w:val="left"/>
            </w:pPr>
            <w:r>
              <w:rPr>
                <w:rFonts w:ascii="Arial" w:cs="Arial" w:eastAsia="Arial" w:hAnsi="Arial"/>
                <w:b w:val="false"/>
                <w:bCs w:val="false"/>
                <w:color w:val="000000"/>
                <w:sz w:val="16"/>
                <w:szCs w:val="16"/>
              </w:rPr>
              <w:t xml:space="preserve">Data Center AI compute (Hopper/Blackwell GPUs), networking, automotive, Jetson, DGX Cloud</w:t>
            </w:r>
          </w:p>
        </w:tc>
      </w:tr>
      <w:tr>
        <w:tc>
          <w:tcPr>
            <w:tcW w:type="dxa" w:w="1800"/>
            <w:gridSpan w:val="1"/>
            <w:tcBorders>
              <w:top w:val="single" w:color="D9D9D9" w:sz="6"/>
              <w:left w:val="single" w:color="D9D9D9" w:sz="6"/>
              <w:bottom w:val="single" w:color="D9D9D9" w:sz="6"/>
              <w:right w:val="single" w:color="D9D9D9" w:sz="6"/>
            </w:tcBorders>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Graphics</w:t>
            </w:r>
          </w:p>
        </w:tc>
        <w:tc>
          <w:tcPr>
            <w:tcW w:type="dxa" w:w="1800"/>
            <w:gridSpan w:val="1"/>
            <w:tcBorders>
              <w:top w:val="single" w:color="D9D9D9" w:sz="6"/>
              <w:left w:val="single" w:color="D9D9D9" w:sz="6"/>
              <w:bottom w:val="single" w:color="D9D9D9" w:sz="6"/>
              <w:right w:val="single" w:color="D9D9D9" w:sz="6"/>
            </w:tcBorders>
            <w:tcMar>
              <w:top w:type="dxa" w:w="80"/>
              <w:left w:type="dxa" w:w="120"/>
              <w:bottom w:type="dxa" w:w="80"/>
              <w:right w:type="dxa" w:w="120"/>
            </w:tcMar>
            <w:vAlign w:val="center"/>
          </w:tcPr>
          <w:p>
            <w:pPr>
              <w:jc w:val="right"/>
            </w:pPr>
            <w:r>
              <w:rPr>
                <w:rFonts w:ascii="Arial" w:cs="Arial" w:eastAsia="Arial" w:hAnsi="Arial"/>
                <w:b w:val="false"/>
                <w:bCs w:val="false"/>
                <w:color w:val="000000"/>
                <w:sz w:val="16"/>
                <w:szCs w:val="16"/>
              </w:rPr>
              <w:t xml:space="preserve">$14,304</w:t>
            </w:r>
          </w:p>
        </w:tc>
        <w:tc>
          <w:tcPr>
            <w:tcW w:type="dxa" w:w="1200"/>
            <w:gridSpan w:val="1"/>
            <w:tcBorders>
              <w:top w:val="single" w:color="D9D9D9" w:sz="6"/>
              <w:left w:val="single" w:color="D9D9D9" w:sz="6"/>
              <w:bottom w:val="single" w:color="D9D9D9" w:sz="6"/>
              <w:right w:val="single" w:color="D9D9D9" w:sz="6"/>
            </w:tcBorders>
            <w:tcMar>
              <w:top w:type="dxa" w:w="80"/>
              <w:left w:type="dxa" w:w="120"/>
              <w:bottom w:type="dxa" w:w="80"/>
              <w:right w:type="dxa" w:w="120"/>
            </w:tcMar>
            <w:vAlign w:val="center"/>
          </w:tcPr>
          <w:p>
            <w:pPr>
              <w:jc w:val="right"/>
            </w:pPr>
            <w:r>
              <w:rPr>
                <w:rFonts w:ascii="Arial" w:cs="Arial" w:eastAsia="Arial" w:hAnsi="Arial"/>
                <w:b w:val="false"/>
                <w:bCs w:val="false"/>
                <w:color w:val="000000"/>
                <w:sz w:val="16"/>
                <w:szCs w:val="16"/>
              </w:rPr>
              <w:t xml:space="preserve">11.0%</w:t>
            </w:r>
          </w:p>
        </w:tc>
        <w:tc>
          <w:tcPr>
            <w:tcW w:type="dxa" w:w="1800"/>
            <w:gridSpan w:val="1"/>
            <w:tcBorders>
              <w:top w:val="single" w:color="D9D9D9" w:sz="6"/>
              <w:left w:val="single" w:color="D9D9D9" w:sz="6"/>
              <w:bottom w:val="single" w:color="D9D9D9" w:sz="6"/>
              <w:right w:val="single" w:color="D9D9D9" w:sz="6"/>
            </w:tcBorders>
            <w:tcMar>
              <w:top w:type="dxa" w:w="80"/>
              <w:left w:type="dxa" w:w="120"/>
              <w:bottom w:type="dxa" w:w="80"/>
              <w:right w:type="dxa" w:w="120"/>
            </w:tcMar>
            <w:vAlign w:val="center"/>
          </w:tcPr>
          <w:p>
            <w:pPr>
              <w:jc w:val="right"/>
            </w:pPr>
            <w:r>
              <w:rPr>
                <w:rFonts w:ascii="Arial" w:cs="Arial" w:eastAsia="Arial" w:hAnsi="Arial"/>
                <w:b w:val="false"/>
                <w:bCs w:val="false"/>
                <w:color w:val="000000"/>
                <w:sz w:val="16"/>
                <w:szCs w:val="16"/>
              </w:rPr>
              <w:t xml:space="preserve">$5,085</w:t>
            </w:r>
          </w:p>
        </w:tc>
        <w:tc>
          <w:tcPr>
            <w:tcW w:type="dxa" w:w="2760"/>
            <w:gridSpan w:val="1"/>
            <w:tcBorders>
              <w:top w:val="single" w:color="D9D9D9" w:sz="6"/>
              <w:left w:val="single" w:color="D9D9D9" w:sz="6"/>
              <w:bottom w:val="single" w:color="D9D9D9" w:sz="6"/>
              <w:right w:val="single" w:color="D9D9D9" w:sz="6"/>
            </w:tcBorders>
            <w:tcMar>
              <w:top w:type="dxa" w:w="80"/>
              <w:left w:type="dxa" w:w="120"/>
              <w:bottom w:type="dxa" w:w="80"/>
              <w:right w:type="dxa" w:w="120"/>
            </w:tcMar>
            <w:vAlign w:val="center"/>
          </w:tcPr>
          <w:p>
            <w:pPr>
              <w:jc w:val="left"/>
            </w:pPr>
            <w:r>
              <w:rPr>
                <w:rFonts w:ascii="Arial" w:cs="Arial" w:eastAsia="Arial" w:hAnsi="Arial"/>
                <w:b w:val="false"/>
                <w:bCs w:val="false"/>
                <w:color w:val="000000"/>
                <w:sz w:val="16"/>
                <w:szCs w:val="16"/>
              </w:rPr>
              <w:t xml:space="preserve">GeForce gaming GPUs, GeForce NOW, Quadro/RTX workstations, Omniverse, vGPU</w:t>
            </w:r>
          </w:p>
        </w:tc>
      </w:tr>
      <w:tr>
        <w:tc>
          <w:tcPr>
            <w:tcW w:type="dxa" w:w="1800"/>
            <w:gridSpan w:val="1"/>
            <w:tcBorders>
              <w:top w:val="single" w:color="D9D9D9" w:sz="6"/>
              <w:left w:val="single" w:color="D9D9D9" w:sz="6"/>
              <w:bottom w:val="single" w:color="D9D9D9" w:sz="6"/>
              <w:right w:val="single" w:color="D9D9D9" w:sz="6"/>
            </w:tcBorders>
            <w:shd w:fill="D9E2F3"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Total / Blended</w:t>
            </w:r>
          </w:p>
        </w:tc>
        <w:tc>
          <w:tcPr>
            <w:tcW w:type="dxa" w:w="1800"/>
            <w:gridSpan w:val="1"/>
            <w:tcBorders>
              <w:top w:val="single" w:color="D9D9D9" w:sz="6"/>
              <w:left w:val="single" w:color="D9D9D9" w:sz="6"/>
              <w:bottom w:val="single" w:color="D9D9D9" w:sz="6"/>
              <w:right w:val="single" w:color="D9D9D9" w:sz="6"/>
            </w:tcBorders>
            <w:shd w:fill="D9E2F3" w:val="clear"/>
            <w:tcMar>
              <w:top w:type="dxa" w:w="80"/>
              <w:left w:type="dxa" w:w="120"/>
              <w:bottom w:type="dxa" w:w="80"/>
              <w:right w:type="dxa" w:w="120"/>
            </w:tcMar>
            <w:vAlign w:val="center"/>
          </w:tcPr>
          <w:p>
            <w:pPr>
              <w:jc w:val="right"/>
            </w:pPr>
            <w:r>
              <w:rPr>
                <w:rFonts w:ascii="Arial" w:cs="Arial" w:eastAsia="Arial" w:hAnsi="Arial"/>
                <w:b/>
                <w:bCs/>
                <w:color w:val="1F3864"/>
                <w:sz w:val="16"/>
                <w:szCs w:val="16"/>
              </w:rPr>
              <w:t xml:space="preserve">$130,497</w:t>
            </w:r>
          </w:p>
        </w:tc>
        <w:tc>
          <w:tcPr>
            <w:tcW w:type="dxa" w:w="1200"/>
            <w:gridSpan w:val="1"/>
            <w:tcBorders>
              <w:top w:val="single" w:color="D9D9D9" w:sz="6"/>
              <w:left w:val="single" w:color="D9D9D9" w:sz="6"/>
              <w:bottom w:val="single" w:color="D9D9D9" w:sz="6"/>
              <w:right w:val="single" w:color="D9D9D9" w:sz="6"/>
            </w:tcBorders>
            <w:shd w:fill="D9E2F3" w:val="clear"/>
            <w:tcMar>
              <w:top w:type="dxa" w:w="80"/>
              <w:left w:type="dxa" w:w="120"/>
              <w:bottom w:type="dxa" w:w="80"/>
              <w:right w:type="dxa" w:w="120"/>
            </w:tcMar>
            <w:vAlign w:val="center"/>
          </w:tcPr>
          <w:p>
            <w:pPr>
              <w:jc w:val="right"/>
            </w:pPr>
            <w:r>
              <w:rPr>
                <w:rFonts w:ascii="Arial" w:cs="Arial" w:eastAsia="Arial" w:hAnsi="Arial"/>
                <w:b/>
                <w:bCs/>
                <w:color w:val="1F3864"/>
                <w:sz w:val="16"/>
                <w:szCs w:val="16"/>
              </w:rPr>
              <w:t xml:space="preserve">100%</w:t>
            </w:r>
          </w:p>
        </w:tc>
        <w:tc>
          <w:tcPr>
            <w:tcW w:type="dxa" w:w="1800"/>
            <w:gridSpan w:val="1"/>
            <w:tcBorders>
              <w:top w:val="single" w:color="D9D9D9" w:sz="6"/>
              <w:left w:val="single" w:color="D9D9D9" w:sz="6"/>
              <w:bottom w:val="single" w:color="D9D9D9" w:sz="6"/>
              <w:right w:val="single" w:color="D9D9D9" w:sz="6"/>
            </w:tcBorders>
            <w:shd w:fill="D9E2F3" w:val="clear"/>
            <w:tcMar>
              <w:top w:type="dxa" w:w="80"/>
              <w:left w:type="dxa" w:w="120"/>
              <w:bottom w:type="dxa" w:w="80"/>
              <w:right w:type="dxa" w:w="120"/>
            </w:tcMar>
            <w:vAlign w:val="center"/>
          </w:tcPr>
          <w:p>
            <w:pPr>
              <w:jc w:val="right"/>
            </w:pPr>
            <w:r>
              <w:rPr>
                <w:rFonts w:ascii="Arial" w:cs="Arial" w:eastAsia="Arial" w:hAnsi="Arial"/>
                <w:b/>
                <w:bCs/>
                <w:color w:val="1F3864"/>
                <w:sz w:val="16"/>
                <w:szCs w:val="16"/>
              </w:rPr>
              <w:t xml:space="preserve">$81,453</w:t>
            </w:r>
          </w:p>
        </w:tc>
        <w:tc>
          <w:tcPr>
            <w:tcW w:type="dxa" w:w="2760"/>
            <w:gridSpan w:val="1"/>
            <w:tcBorders>
              <w:top w:val="single" w:color="D9D9D9" w:sz="6"/>
              <w:left w:val="single" w:color="D9D9D9" w:sz="6"/>
              <w:bottom w:val="single" w:color="D9D9D9" w:sz="6"/>
              <w:right w:val="single" w:color="D9D9D9" w:sz="6"/>
            </w:tcBorders>
            <w:shd w:fill="D9E2F3"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Gross Margin: 75.0% | Operating Margin: 62.4% | Net Margin: 55.8%</w:t>
            </w:r>
          </w:p>
        </w:tc>
      </w:tr>
    </w:tbl>
    <w:p>
      <w:pPr>
        <w:spacing w:before="120" w:after="0"/>
      </w:pPr>
    </w:p>
    <w:p>
      <w:pPr>
        <w:pStyle w:val="Heading2"/>
        <w:spacing w:before="180" w:after="80"/>
      </w:pPr>
      <w:r>
        <w:rPr>
          <w:rFonts w:ascii="Arial" w:cs="Arial" w:eastAsia="Arial" w:hAnsi="Arial"/>
          <w:b/>
          <w:bCs/>
          <w:color w:val="2E4A6B"/>
          <w:sz w:val="22"/>
          <w:szCs w:val="22"/>
        </w:rPr>
        <w:t xml:space="preserve">Management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900"/>
        <w:gridCol w:w="5260"/>
      </w:tblGrid>
      <w:tr>
        <w:tc>
          <w:tcPr>
            <w:tcW w:type="dxa" w:w="18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Name</w:t>
            </w:r>
          </w:p>
        </w:tc>
        <w:tc>
          <w:tcPr>
            <w:tcW w:type="dxa" w:w="14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Title</w:t>
            </w:r>
          </w:p>
        </w:tc>
        <w:tc>
          <w:tcPr>
            <w:tcW w:type="dxa" w:w="9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Tenure</w:t>
            </w:r>
          </w:p>
        </w:tc>
        <w:tc>
          <w:tcPr>
            <w:tcW w:type="dxa" w:w="526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Notable Background</w:t>
            </w:r>
          </w:p>
        </w:tc>
      </w:tr>
      <w:tr>
        <w:tc>
          <w:tcPr>
            <w:tcW w:type="dxa" w:w="18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Jen-Hsun (Jensen) Huang</w:t>
            </w:r>
          </w:p>
        </w:tc>
        <w:tc>
          <w:tcPr>
            <w:tcW w:type="dxa" w:w="14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6"/>
                <w:szCs w:val="16"/>
              </w:rPr>
              <w:t xml:space="preserve">President &amp; CEO</w:t>
            </w:r>
          </w:p>
        </w:tc>
        <w:tc>
          <w:tcPr>
            <w:tcW w:type="dxa" w:w="9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6"/>
                <w:szCs w:val="16"/>
              </w:rPr>
              <w:t xml:space="preserve">31 yrs</w:t>
            </w:r>
          </w:p>
        </w:tc>
        <w:tc>
          <w:tcPr>
            <w:tcW w:type="dxa" w:w="52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6"/>
                <w:szCs w:val="16"/>
              </w:rPr>
              <w:t xml:space="preserve">Co-founder since 1993; MIT, Stanford MBA. Architect of NVDA's pivot to AI platform. One of the most visionary CEOs in tech history; consistently ahead of market on AI cycle timing.</w:t>
            </w:r>
          </w:p>
        </w:tc>
      </w:tr>
      <w:tr>
        <w:tc>
          <w:tcPr>
            <w:tcW w:type="dxa" w:w="1800"/>
            <w:gridSpan w:val="1"/>
            <w:tcBorders>
              <w:top w:val="single" w:color="D9D9D9" w:sz="6"/>
              <w:left w:val="single" w:color="D9D9D9" w:sz="6"/>
              <w:bottom w:val="single" w:color="D9D9D9" w:sz="6"/>
              <w:right w:val="single" w:color="D9D9D9" w:sz="6"/>
            </w:tcBorders>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Colette Kress</w:t>
            </w:r>
          </w:p>
        </w:tc>
        <w:tc>
          <w:tcPr>
            <w:tcW w:type="dxa" w:w="1400"/>
            <w:gridSpan w:val="1"/>
            <w:tcBorders>
              <w:top w:val="single" w:color="D9D9D9" w:sz="6"/>
              <w:left w:val="single" w:color="D9D9D9" w:sz="6"/>
              <w:bottom w:val="single" w:color="D9D9D9" w:sz="6"/>
              <w:right w:val="single" w:color="D9D9D9" w:sz="6"/>
            </w:tcBorders>
            <w:tcMar>
              <w:top w:type="dxa" w:w="80"/>
              <w:left w:type="dxa" w:w="120"/>
              <w:bottom w:type="dxa" w:w="80"/>
              <w:right w:type="dxa" w:w="120"/>
            </w:tcMar>
            <w:vAlign w:val="center"/>
          </w:tcPr>
          <w:p>
            <w:pPr>
              <w:jc w:val="left"/>
            </w:pPr>
            <w:r>
              <w:rPr>
                <w:rFonts w:ascii="Arial" w:cs="Arial" w:eastAsia="Arial" w:hAnsi="Arial"/>
                <w:b w:val="false"/>
                <w:bCs w:val="false"/>
                <w:color w:val="000000"/>
                <w:sz w:val="16"/>
                <w:szCs w:val="16"/>
              </w:rPr>
              <w:t xml:space="preserve">EVP &amp; CFO</w:t>
            </w:r>
          </w:p>
        </w:tc>
        <w:tc>
          <w:tcPr>
            <w:tcW w:type="dxa" w:w="900"/>
            <w:gridSpan w:val="1"/>
            <w:tcBorders>
              <w:top w:val="single" w:color="D9D9D9" w:sz="6"/>
              <w:left w:val="single" w:color="D9D9D9" w:sz="6"/>
              <w:bottom w:val="single" w:color="D9D9D9" w:sz="6"/>
              <w:right w:val="single" w:color="D9D9D9" w:sz="6"/>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16"/>
                <w:szCs w:val="16"/>
              </w:rPr>
              <w:t xml:space="preserve">11 yrs</w:t>
            </w:r>
          </w:p>
        </w:tc>
        <w:tc>
          <w:tcPr>
            <w:tcW w:type="dxa" w:w="5260"/>
            <w:gridSpan w:val="1"/>
            <w:tcBorders>
              <w:top w:val="single" w:color="D9D9D9" w:sz="6"/>
              <w:left w:val="single" w:color="D9D9D9" w:sz="6"/>
              <w:bottom w:val="single" w:color="D9D9D9" w:sz="6"/>
              <w:right w:val="single" w:color="D9D9D9" w:sz="6"/>
            </w:tcBorders>
            <w:tcMar>
              <w:top w:type="dxa" w:w="80"/>
              <w:left w:type="dxa" w:w="120"/>
              <w:bottom w:type="dxa" w:w="80"/>
              <w:right w:type="dxa" w:w="120"/>
            </w:tcMar>
            <w:vAlign w:val="center"/>
          </w:tcPr>
          <w:p>
            <w:pPr>
              <w:jc w:val="left"/>
            </w:pPr>
            <w:r>
              <w:rPr>
                <w:rFonts w:ascii="Arial" w:cs="Arial" w:eastAsia="Arial" w:hAnsi="Arial"/>
                <w:b w:val="false"/>
                <w:bCs w:val="false"/>
                <w:color w:val="000000"/>
                <w:sz w:val="16"/>
                <w:szCs w:val="16"/>
              </w:rPr>
              <w:t xml:space="preserve">Prior CFO roles at Cisco Systems and Microsoft. Strong track record of disciplined capital allocation: $34B buybacks in FY2025 alongside aggressive R&amp;D investment.</w:t>
            </w:r>
          </w:p>
        </w:tc>
      </w:tr>
      <w:tr>
        <w:tc>
          <w:tcPr>
            <w:tcW w:type="dxa" w:w="18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Debora Shoquist</w:t>
            </w:r>
          </w:p>
        </w:tc>
        <w:tc>
          <w:tcPr>
            <w:tcW w:type="dxa" w:w="14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6"/>
                <w:szCs w:val="16"/>
              </w:rPr>
              <w:t xml:space="preserve">EVP, Operations</w:t>
            </w:r>
          </w:p>
        </w:tc>
        <w:tc>
          <w:tcPr>
            <w:tcW w:type="dxa" w:w="9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6"/>
                <w:szCs w:val="16"/>
              </w:rPr>
              <w:t xml:space="preserve">17 yrs</w:t>
            </w:r>
          </w:p>
        </w:tc>
        <w:tc>
          <w:tcPr>
            <w:tcW w:type="dxa" w:w="52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6"/>
                <w:szCs w:val="16"/>
              </w:rPr>
              <w:t xml:space="preserve">Manages global supply chain and manufacturing relationships. Critical role given TSMC dependency and HBM memory procurement. Successfully navigated extreme demand surge.</w:t>
            </w:r>
          </w:p>
        </w:tc>
      </w:tr>
    </w:tbl>
    <w:p>
      <w:pPr>
        <w:spacing w:before="120" w:after="0"/>
      </w:pPr>
    </w:p>
    <w:p>
      <w:pPr>
        <w:pStyle w:val="Heading2"/>
        <w:spacing w:before="180" w:after="80"/>
      </w:pPr>
      <w:r>
        <w:rPr>
          <w:rFonts w:ascii="Arial" w:cs="Arial" w:eastAsia="Arial" w:hAnsi="Arial"/>
          <w:b/>
          <w:bCs/>
          <w:color w:val="2E4A6B"/>
          <w:sz w:val="22"/>
          <w:szCs w:val="22"/>
        </w:rPr>
        <w:t xml:space="preserve">Capital Structure &amp; Ownership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80"/>
        <w:gridCol w:w="4280"/>
      </w:tblGrid>
      <w:tr>
        <w:tc>
          <w:tcPr>
            <w:tcW w:type="dxa" w:w="28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Metric</w:t>
            </w:r>
          </w:p>
        </w:tc>
        <w:tc>
          <w:tcPr>
            <w:tcW w:type="dxa" w:w="228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Value</w:t>
            </w:r>
          </w:p>
        </w:tc>
        <w:tc>
          <w:tcPr>
            <w:tcW w:type="dxa" w:w="428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Commentary</w:t>
            </w:r>
          </w:p>
        </w:tc>
      </w:tr>
      <w:tr>
        <w:tc>
          <w:tcPr>
            <w:tcW w:type="dxa" w:w="28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Shares Outstanding (diluted, Jan 26, 2025)</w:t>
            </w:r>
          </w:p>
        </w:tc>
        <w:tc>
          <w:tcPr>
            <w:tcW w:type="dxa" w:w="228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right"/>
            </w:pPr>
            <w:r>
              <w:rPr>
                <w:rFonts w:ascii="Arial" w:cs="Arial" w:eastAsia="Arial" w:hAnsi="Arial"/>
                <w:b/>
                <w:bCs/>
                <w:color w:val="1F3864"/>
                <w:sz w:val="16"/>
                <w:szCs w:val="16"/>
              </w:rPr>
              <w:t xml:space="preserve">24,477M</w:t>
            </w:r>
          </w:p>
        </w:tc>
        <w:tc>
          <w:tcPr>
            <w:tcW w:type="dxa" w:w="428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Post-10-for-1 stock split executed June 2024. Buybacks reducing share count.</w:t>
            </w:r>
          </w:p>
        </w:tc>
      </w:tr>
      <w:tr>
        <w:tc>
          <w:tcPr>
            <w:tcW w:type="dxa" w:w="28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Cash &amp; Cash Equivalents</w:t>
            </w:r>
          </w:p>
        </w:tc>
        <w:tc>
          <w:tcPr>
            <w:tcW w:type="dxa" w:w="228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right"/>
            </w:pPr>
            <w:r>
              <w:rPr>
                <w:rFonts w:ascii="Arial" w:cs="Arial" w:eastAsia="Arial" w:hAnsi="Arial"/>
                <w:b/>
                <w:bCs/>
                <w:color w:val="1F3864"/>
                <w:sz w:val="16"/>
                <w:szCs w:val="16"/>
              </w:rPr>
              <w:t xml:space="preserve">$8,589M</w:t>
            </w:r>
          </w:p>
        </w:tc>
        <w:tc>
          <w:tcPr>
            <w:tcW w:type="dxa" w:w="428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Highly liquid; total liquidity including mkt securities = $43.2B</w:t>
            </w:r>
          </w:p>
        </w:tc>
      </w:tr>
      <w:tr>
        <w:tc>
          <w:tcPr>
            <w:tcW w:type="dxa" w:w="28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Marketable Securities</w:t>
            </w:r>
          </w:p>
        </w:tc>
        <w:tc>
          <w:tcPr>
            <w:tcW w:type="dxa" w:w="228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right"/>
            </w:pPr>
            <w:r>
              <w:rPr>
                <w:rFonts w:ascii="Arial" w:cs="Arial" w:eastAsia="Arial" w:hAnsi="Arial"/>
                <w:b/>
                <w:bCs/>
                <w:color w:val="1F3864"/>
                <w:sz w:val="16"/>
                <w:szCs w:val="16"/>
              </w:rPr>
              <w:t xml:space="preserve">$34,621M</w:t>
            </w:r>
          </w:p>
        </w:tc>
        <w:tc>
          <w:tcPr>
            <w:tcW w:type="dxa" w:w="428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Primarily US Treasuries, corporate bonds, agency securities</w:t>
            </w:r>
          </w:p>
        </w:tc>
      </w:tr>
      <w:tr>
        <w:tc>
          <w:tcPr>
            <w:tcW w:type="dxa" w:w="28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Long-Term Debt</w:t>
            </w:r>
          </w:p>
        </w:tc>
        <w:tc>
          <w:tcPr>
            <w:tcW w:type="dxa" w:w="228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right"/>
            </w:pPr>
            <w:r>
              <w:rPr>
                <w:rFonts w:ascii="Arial" w:cs="Arial" w:eastAsia="Arial" w:hAnsi="Arial"/>
                <w:b/>
                <w:bCs/>
                <w:color w:val="1F3864"/>
                <w:sz w:val="16"/>
                <w:szCs w:val="16"/>
              </w:rPr>
              <w:t xml:space="preserve">$8,463M</w:t>
            </w:r>
          </w:p>
        </w:tc>
        <w:tc>
          <w:tcPr>
            <w:tcW w:type="dxa" w:w="428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Senior notes; fixed rate. Net Cash position = $34.7B (strong balance sheet)</w:t>
            </w:r>
          </w:p>
        </w:tc>
      </w:tr>
      <w:tr>
        <w:tc>
          <w:tcPr>
            <w:tcW w:type="dxa" w:w="28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Net Cash (Positive = Net Cash)</w:t>
            </w:r>
          </w:p>
        </w:tc>
        <w:tc>
          <w:tcPr>
            <w:tcW w:type="dxa" w:w="228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right"/>
            </w:pPr>
            <w:r>
              <w:rPr>
                <w:rFonts w:ascii="Arial" w:cs="Arial" w:eastAsia="Arial" w:hAnsi="Arial"/>
                <w:b/>
                <w:bCs/>
                <w:color w:val="1F3864"/>
                <w:sz w:val="16"/>
                <w:szCs w:val="16"/>
              </w:rPr>
              <w:t xml:space="preserve">+$34,747M</w:t>
            </w:r>
          </w:p>
        </w:tc>
        <w:tc>
          <w:tcPr>
            <w:tcW w:type="dxa" w:w="428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Cash + Mkt Securities − Total Debt = $43.2B − $8.5B; no leverage concern</w:t>
            </w:r>
          </w:p>
        </w:tc>
      </w:tr>
      <w:tr>
        <w:tc>
          <w:tcPr>
            <w:tcW w:type="dxa" w:w="28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Leverage Ratio (Net Debt/EBITDA)</w:t>
            </w:r>
          </w:p>
        </w:tc>
        <w:tc>
          <w:tcPr>
            <w:tcW w:type="dxa" w:w="228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right"/>
            </w:pPr>
            <w:r>
              <w:rPr>
                <w:rFonts w:ascii="Arial" w:cs="Arial" w:eastAsia="Arial" w:hAnsi="Arial"/>
                <w:b/>
                <w:bCs/>
                <w:color w:val="1F3864"/>
                <w:sz w:val="16"/>
                <w:szCs w:val="16"/>
              </w:rPr>
              <w:t xml:space="preserve">N/M (Net Cash)</w:t>
            </w:r>
          </w:p>
        </w:tc>
        <w:tc>
          <w:tcPr>
            <w:tcW w:type="dxa" w:w="428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Company is unlevered in practical terms; debt is &lt; 0.1x EBITDA</w:t>
            </w:r>
          </w:p>
        </w:tc>
      </w:tr>
      <w:tr>
        <w:tc>
          <w:tcPr>
            <w:tcW w:type="dxa" w:w="28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Interest Coverage (EBIT / Int. Exp.)</w:t>
            </w:r>
          </w:p>
        </w:tc>
        <w:tc>
          <w:tcPr>
            <w:tcW w:type="dxa" w:w="228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right"/>
            </w:pPr>
            <w:r>
              <w:rPr>
                <w:rFonts w:ascii="Arial" w:cs="Arial" w:eastAsia="Arial" w:hAnsi="Arial"/>
                <w:b/>
                <w:bCs/>
                <w:color w:val="1F3864"/>
                <w:sz w:val="16"/>
                <w:szCs w:val="16"/>
              </w:rPr>
              <w:t xml:space="preserve">330x</w:t>
            </w:r>
          </w:p>
        </w:tc>
        <w:tc>
          <w:tcPr>
            <w:tcW w:type="dxa" w:w="428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EBIT $81.5B / Interest expense $247M = virtually unlimited coverage</w:t>
            </w:r>
          </w:p>
        </w:tc>
      </w:tr>
      <w:tr>
        <w:tc>
          <w:tcPr>
            <w:tcW w:type="dxa" w:w="28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Dividend Yield</w:t>
            </w:r>
          </w:p>
        </w:tc>
        <w:tc>
          <w:tcPr>
            <w:tcW w:type="dxa" w:w="228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right"/>
            </w:pPr>
            <w:r>
              <w:rPr>
                <w:rFonts w:ascii="Arial" w:cs="Arial" w:eastAsia="Arial" w:hAnsi="Arial"/>
                <w:b/>
                <w:bCs/>
                <w:color w:val="1F3864"/>
                <w:sz w:val="16"/>
                <w:szCs w:val="16"/>
              </w:rPr>
              <w:t xml:space="preserve">~0.02%</w:t>
            </w:r>
          </w:p>
        </w:tc>
        <w:tc>
          <w:tcPr>
            <w:tcW w:type="dxa" w:w="428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Minimal; $834M paid FY2025; capital return primarily via buybacks ($34B)</w:t>
            </w:r>
          </w:p>
        </w:tc>
      </w:tr>
      <w:tr>
        <w:tc>
          <w:tcPr>
            <w:tcW w:type="dxa" w:w="28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Insider Ownership</w:t>
            </w:r>
          </w:p>
        </w:tc>
        <w:tc>
          <w:tcPr>
            <w:tcW w:type="dxa" w:w="228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right"/>
            </w:pPr>
            <w:r>
              <w:rPr>
                <w:rFonts w:ascii="Arial" w:cs="Arial" w:eastAsia="Arial" w:hAnsi="Arial"/>
                <w:b/>
                <w:bCs/>
                <w:color w:val="1F3864"/>
                <w:sz w:val="16"/>
                <w:szCs w:val="16"/>
              </w:rPr>
              <w:t xml:space="preserve">~3.5%</w:t>
            </w:r>
          </w:p>
        </w:tc>
        <w:tc>
          <w:tcPr>
            <w:tcW w:type="dxa" w:w="428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Jensen Huang owns ~3.5%; meaningful alignment without overhang</w:t>
            </w:r>
          </w:p>
        </w:tc>
      </w:tr>
    </w:tbl>
    <w:p/>
    <w:p>
      <w:pPr>
        <w:pStyle w:val="Heading1"/>
        <w:pBdr>
          <w:bottom w:val="single" w:color="1F3864" w:sz="12"/>
        </w:pBdr>
        <w:spacing w:before="240" w:after="120"/>
      </w:pPr>
      <w:r>
        <w:rPr>
          <w:rFonts w:ascii="Arial" w:cs="Arial" w:eastAsia="Arial" w:hAnsi="Arial"/>
          <w:b/>
          <w:bCs/>
          <w:color w:val="1F3864"/>
          <w:sz w:val="26"/>
          <w:szCs w:val="26"/>
        </w:rPr>
        <w:t xml:space="preserve">2.  INDUSTRY ANALYSIS</w:t>
      </w:r>
    </w:p>
    <w:p>
      <w:pPr>
        <w:pStyle w:val="Heading2"/>
        <w:spacing w:before="180" w:after="80"/>
      </w:pPr>
      <w:r>
        <w:rPr>
          <w:rFonts w:ascii="Arial" w:cs="Arial" w:eastAsia="Arial" w:hAnsi="Arial"/>
          <w:b/>
          <w:bCs/>
          <w:color w:val="2E4A6B"/>
          <w:sz w:val="22"/>
          <w:szCs w:val="22"/>
        </w:rPr>
        <w:t xml:space="preserve">Market Size &amp; Growth (TAM/SAM)</w:t>
      </w:r>
    </w:p>
    <w:p>
      <w:pPr>
        <w:spacing w:before="60" w:after="80"/>
        <w:ind/>
        <w:jc w:val="left"/>
      </w:pPr>
      <w:r>
        <w:rPr>
          <w:rFonts w:ascii="Arial" w:cs="Arial" w:eastAsia="Arial" w:hAnsi="Arial"/>
          <w:b w:val="false"/>
          <w:bCs w:val="false"/>
          <w:color w:val="000000"/>
          <w:sz w:val="18"/>
          <w:szCs w:val="18"/>
        </w:rPr>
        <w:t xml:space="preserve">The global AI accelerator market — NVDA's core addressable market — is expanding at extraordinary speed. Based on synthesis of industry estimates from IDC, Gartner, and Morgan Stanley, the total AI infrastructure market (hardware, networking, systems) is projected to reach $400–500 billion annually by 2027, up from approximately $150 billion in 2024. NVIDIA estimates that AI infrastructure spending will reach $3–4 trillion cumulatively by 2030, driven by cloud hyperscaler capex, sovereign AI national programs, and enterprise AI deployment. NVDA's Data Center revenue of $115.2 billion in FY2025 already represents a dominant 25–30% share of estimated AI infrastructure spend, underscoring the company's exceptional positioning.</w:t>
      </w:r>
    </w:p>
    <w:p>
      <w:pPr>
        <w:spacing w:before="0" w:after="100"/>
        <w:ind/>
        <w:jc w:val="left"/>
      </w:pPr>
      <w:r>
        <w:rPr>
          <w:rFonts w:ascii="Arial" w:cs="Arial" w:eastAsia="Arial" w:hAnsi="Arial"/>
          <w:b w:val="false"/>
          <w:bCs w:val="false"/>
          <w:color w:val="000000"/>
          <w:sz w:val="18"/>
          <w:szCs w:val="18"/>
        </w:rPr>
        <w:t xml:space="preserve">NVDA's Serviceable Addressable Market (SAM) is best defined as AI compute workloads (training and inference), AI networking, and AI-driven applications in Automotive and Robotics. For compute alone, a bottom-up estimate using $30–50K average selling price per GPU multiplied by estimated 2–3 million annual AI GPU unit shipments yields a $60–150 billion SAM for GPU hardware alone — a market NVDA dominates with estimated 70–85% share. The networking SAM (InfiniBand + Ethernet for AI) adds another $15–20 billion. NVDA's current penetration of the full AI infrastructure stack suggests meaningful upside as software/recurring revenue scales.</w:t>
      </w:r>
    </w:p>
    <w:p>
      <w:pPr>
        <w:pStyle w:val="Heading2"/>
        <w:spacing w:before="180" w:after="80"/>
      </w:pPr>
      <w:r>
        <w:rPr>
          <w:rFonts w:ascii="Arial" w:cs="Arial" w:eastAsia="Arial" w:hAnsi="Arial"/>
          <w:b/>
          <w:bCs/>
          <w:color w:val="2E4A6B"/>
          <w:sz w:val="22"/>
          <w:szCs w:val="22"/>
        </w:rPr>
        <w:t xml:space="preserve">Porter's Five Forces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360"/>
      </w:tblGrid>
      <w:tr>
        <w:tc>
          <w:tcPr>
            <w:tcW w:type="dxa" w:w="18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Force</w:t>
            </w:r>
          </w:p>
        </w:tc>
        <w:tc>
          <w:tcPr>
            <w:tcW w:type="dxa" w:w="12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6"/>
                <w:szCs w:val="16"/>
              </w:rPr>
              <w:t xml:space="preserve">Assessment</w:t>
            </w:r>
          </w:p>
        </w:tc>
        <w:tc>
          <w:tcPr>
            <w:tcW w:type="dxa" w:w="636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Key Commentary</w:t>
            </w:r>
          </w:p>
        </w:tc>
      </w:tr>
      <w:tr>
        <w:tc>
          <w:tcPr>
            <w:tcW w:type="dxa" w:w="18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Threat of New Entrants</w:t>
            </w:r>
          </w:p>
        </w:tc>
        <w:tc>
          <w:tcPr>
            <w:tcW w:type="dxa" w:w="120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16"/>
                <w:szCs w:val="16"/>
              </w:rPr>
              <w:t xml:space="preserve">LOW</w:t>
            </w:r>
          </w:p>
        </w:tc>
        <w:tc>
          <w:tcPr>
            <w:tcW w:type="dxa" w:w="63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GPU design and manufacturing requires $10B+ R&amp;D investment and 5–7 year development cycles. TSMC fab access is constrained; CUDA's 20-year developer ecosystem constitutes a near-impenetrable moat. Google (TPU), Amazon (Trainium), and Microsoft (Maia) are developing custom ASICs but target specific internal use cases, not broad-market displacement.</w:t>
            </w:r>
          </w:p>
        </w:tc>
      </w:tr>
      <w:tr>
        <w:tc>
          <w:tcPr>
            <w:tcW w:type="dxa" w:w="18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Bargaining Power of Suppliers</w:t>
            </w:r>
          </w:p>
        </w:tc>
        <w:tc>
          <w:tcPr>
            <w:tcW w:type="dxa" w:w="12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bCs/>
                <w:color w:val="404040"/>
                <w:sz w:val="16"/>
                <w:szCs w:val="16"/>
              </w:rPr>
              <w:t xml:space="preserve">MEDIUM-HIGH</w:t>
            </w:r>
          </w:p>
        </w:tc>
        <w:tc>
          <w:tcPr>
            <w:tcW w:type="dxa" w:w="636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TSMC controls ~95% of advanced AI chip production (3nm/5nm). CoWoS advanced packaging is capacity-constrained. SK Hynix/Samsung/Micron supply HBM memory which is critical and also constrained. NVDA mitigates supplier risk through long-term agreements, deposits, and multi-year supply commitments, but foundry concentration is a real strategic dependency.</w:t>
            </w:r>
          </w:p>
        </w:tc>
      </w:tr>
      <w:tr>
        <w:tc>
          <w:tcPr>
            <w:tcW w:type="dxa" w:w="18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Bargaining Power of Buyers</w:t>
            </w:r>
          </w:p>
        </w:tc>
        <w:tc>
          <w:tcPr>
            <w:tcW w:type="dxa" w:w="120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16"/>
                <w:szCs w:val="16"/>
              </w:rPr>
              <w:t xml:space="preserve">LOW-MEDIUM</w:t>
            </w:r>
          </w:p>
        </w:tc>
        <w:tc>
          <w:tcPr>
            <w:tcW w:type="dxa" w:w="63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Top hyperscaler customers (Microsoft, Google, Amazon, Meta) each represent 10–15% of revenue but are in a position where NVDA GPUs are essential to their AI product roadmaps. Despite customer size, the absence of viable GPU alternatives gives NVDA pricing power. Multi-year purchase commitments and $30+ billion customer advance payments validate customer dependency.</w:t>
            </w:r>
          </w:p>
        </w:tc>
      </w:tr>
      <w:tr>
        <w:tc>
          <w:tcPr>
            <w:tcW w:type="dxa" w:w="18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Threat of Substitutes</w:t>
            </w:r>
          </w:p>
        </w:tc>
        <w:tc>
          <w:tcPr>
            <w:tcW w:type="dxa" w:w="120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16"/>
                <w:szCs w:val="16"/>
              </w:rPr>
              <w:t xml:space="preserve">LOW-MEDIUM</w:t>
            </w:r>
          </w:p>
        </w:tc>
        <w:tc>
          <w:tcPr>
            <w:tcW w:type="dxa" w:w="636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CPUs (Intel, AMD) are structurally insufficient for parallel AI workloads. Custom ASICs (Google TPU, Amazon Trainium) can substitute for specific inference workloads but lack CUDA's flexibility. AMD's MI300X is the closest GPU substitute but trails on performance, software ecosystem, and supply scale. FPGA-based acceleration is niche.</w:t>
            </w:r>
          </w:p>
        </w:tc>
      </w:tr>
      <w:tr>
        <w:tc>
          <w:tcPr>
            <w:tcW w:type="dxa" w:w="18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Industry Rivalry</w:t>
            </w:r>
          </w:p>
        </w:tc>
        <w:tc>
          <w:tcPr>
            <w:tcW w:type="dxa" w:w="12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bCs/>
                <w:color w:val="404040"/>
                <w:sz w:val="16"/>
                <w:szCs w:val="16"/>
              </w:rPr>
              <w:t xml:space="preserve">MEDIUM</w:t>
            </w:r>
          </w:p>
        </w:tc>
        <w:tc>
          <w:tcPr>
            <w:tcW w:type="dxa" w:w="63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AMD is the only serious GPU competitor, with MI300X gaining traction but still a significant step behind on software (ROCm vs. CUDA) and hardware (HBM capacity). Intel's Gaudi AI chip has minimal market presence. The competitive dynamic favors NVDA for the foreseeable future, though customers are motivated to qualify alternatives to reduce dependency.</w:t>
            </w:r>
          </w:p>
        </w:tc>
      </w:tr>
    </w:tbl>
    <w:p>
      <w:pPr>
        <w:spacing w:before="120" w:after="0"/>
      </w:pPr>
    </w:p>
    <w:p>
      <w:pPr>
        <w:pStyle w:val="Heading2"/>
        <w:spacing w:before="180" w:after="80"/>
      </w:pPr>
      <w:r>
        <w:rPr>
          <w:rFonts w:ascii="Arial" w:cs="Arial" w:eastAsia="Arial" w:hAnsi="Arial"/>
          <w:b/>
          <w:bCs/>
          <w:color w:val="2E4A6B"/>
          <w:sz w:val="22"/>
          <w:szCs w:val="22"/>
        </w:rPr>
        <w:t xml:space="preserve">Secular Trends &amp; Tailwinds</w:t>
      </w:r>
    </w:p>
    <w:p>
      <w:pPr>
        <w:pStyle w:val="ListParagraph"/>
        <w:numPr>
          <w:ilvl w:val="0"/>
          <w:numId w:val="2"/>
        </w:numPr>
        <w:spacing w:before="40" w:after="40"/>
      </w:pPr>
      <w:r>
        <w:rPr>
          <w:rFonts w:ascii="Arial" w:cs="Arial" w:eastAsia="Arial" w:hAnsi="Arial"/>
          <w:color w:val="000000"/>
          <w:sz w:val="18"/>
          <w:szCs w:val="18"/>
        </w:rPr>
        <w:t xml:space="preserve">Generative AI &amp; Large Language Model (LLM) Proliferation — The foundational demand driver. Training frontier AI models (GPT-4-class and beyond) requires thousands of NVDA H100/B200 GPUs for months. Inference at scale is equally GPU-intensive. OpenAI, Anthropic, Google DeepMind, and hundreds of AI-native startups are in a perpetual compute arms race. NVDA is the sole supplier capable of meeting this demand at scale.</w:t>
      </w:r>
    </w:p>
    <w:p>
      <w:pPr>
        <w:pStyle w:val="ListParagraph"/>
        <w:numPr>
          <w:ilvl w:val="0"/>
          <w:numId w:val="2"/>
        </w:numPr>
        <w:spacing w:before="40" w:after="40"/>
      </w:pPr>
      <w:r>
        <w:rPr>
          <w:rFonts w:ascii="Arial" w:cs="Arial" w:eastAsia="Arial" w:hAnsi="Arial"/>
          <w:color w:val="000000"/>
          <w:sz w:val="18"/>
          <w:szCs w:val="18"/>
        </w:rPr>
        <w:t xml:space="preserve">AI Inference Market Inflection — The next growth wave. Training is lumpy; inference is continuous. As AI models enter production (chatbots, recommendation engines, digital agents), GPU hours for inference will dwarf training compute. Microsoft's Azure, AWS, and Google Cloud are building out AI inference capacity with NVDA hardware. Inference could be 3–5x the size of training spend by 2028.</w:t>
      </w:r>
    </w:p>
    <w:p>
      <w:pPr>
        <w:pStyle w:val="ListParagraph"/>
        <w:numPr>
          <w:ilvl w:val="0"/>
          <w:numId w:val="2"/>
        </w:numPr>
        <w:spacing w:before="40" w:after="40"/>
      </w:pPr>
      <w:r>
        <w:rPr>
          <w:rFonts w:ascii="Arial" w:cs="Arial" w:eastAsia="Arial" w:hAnsi="Arial"/>
          <w:color w:val="000000"/>
          <w:sz w:val="18"/>
          <w:szCs w:val="18"/>
        </w:rPr>
        <w:t xml:space="preserve">Sovereign AI &amp; National AI Programs — Governments worldwide (Saudi Arabia, UAE, Japan, India, France) are investing $5–50B each in national AI infrastructure. These programs prioritize NVDA hardware for sovereign AI data centers. This demand channel is structurally new and not captured in prior estimates. NVDA named 'Sovereign AI' revenue as a material emerging category in FY2025.</w:t>
      </w:r>
    </w:p>
    <w:p>
      <w:pPr>
        <w:pStyle w:val="ListParagraph"/>
        <w:numPr>
          <w:ilvl w:val="0"/>
          <w:numId w:val="2"/>
        </w:numPr>
        <w:spacing w:before="40" w:after="40"/>
      </w:pPr>
      <w:r>
        <w:rPr>
          <w:rFonts w:ascii="Arial" w:cs="Arial" w:eastAsia="Arial" w:hAnsi="Arial"/>
          <w:color w:val="000000"/>
          <w:sz w:val="18"/>
          <w:szCs w:val="18"/>
        </w:rPr>
        <w:t xml:space="preserve">Physical AI (Robotics &amp; Autonomous Vehicles) — Jensen Huang has identified robotics as the next multi-trillion-dollar opportunity. NVDA's Isaac robotics platform, Jetson edge AI modules, and automotive DRIVE Orin/Thor platform are early-stage TAM expansions. Automotive revenue grew 55% in FY2025; design win pipeline extends to FY2027-FY2030.</w:t>
      </w:r>
    </w:p>
    <w:p>
      <w:pPr>
        <w:pStyle w:val="ListParagraph"/>
        <w:numPr>
          <w:ilvl w:val="0"/>
          <w:numId w:val="2"/>
        </w:numPr>
        <w:spacing w:before="40" w:after="40"/>
      </w:pPr>
      <w:r>
        <w:rPr>
          <w:rFonts w:ascii="Arial" w:cs="Arial" w:eastAsia="Arial" w:hAnsi="Arial"/>
          <w:color w:val="000000"/>
          <w:sz w:val="18"/>
          <w:szCs w:val="18"/>
        </w:rPr>
        <w:t xml:space="preserve">Data Center Modernization &amp; Accelerated Computing — Every legacy CPU-only data center is a conversion opportunity. Hyperscalers are shifting 20–30% of new server builds to GPU-accelerated racks. Enterprise adoption (on-prem and cloud) is early-stage; NVDA AI Enterprise software subscription creates a recurring revenue layer on top of hardware cycles.</w:t>
      </w:r>
    </w:p>
    <w:p/>
    <w:p>
      <w:pPr>
        <w:pStyle w:val="Heading1"/>
        <w:pBdr>
          <w:bottom w:val="single" w:color="1F3864" w:sz="12"/>
        </w:pBdr>
        <w:spacing w:before="240" w:after="120"/>
      </w:pPr>
      <w:r>
        <w:rPr>
          <w:rFonts w:ascii="Arial" w:cs="Arial" w:eastAsia="Arial" w:hAnsi="Arial"/>
          <w:b/>
          <w:bCs/>
          <w:color w:val="1F3864"/>
          <w:sz w:val="26"/>
          <w:szCs w:val="26"/>
        </w:rPr>
        <w:t xml:space="preserve">3.  INVESTMENT THESIS &amp; CATALYSTS</w:t>
      </w:r>
    </w:p>
    <w:p>
      <w:pPr>
        <w:pStyle w:val="Heading2"/>
        <w:spacing w:before="180" w:after="80"/>
      </w:pPr>
      <w:r>
        <w:rPr>
          <w:rFonts w:ascii="Arial" w:cs="Arial" w:eastAsia="Arial" w:hAnsi="Arial"/>
          <w:b/>
          <w:bCs/>
          <w:color w:val="2E4A6B"/>
          <w:sz w:val="22"/>
          <w:szCs w:val="22"/>
        </w:rPr>
        <w:t xml:space="preserve">Core Thesis</w:t>
      </w:r>
    </w:p>
    <w:p>
      <w:pPr>
        <w:spacing w:before="60" w:after="80"/>
        <w:ind/>
        <w:jc w:val="left"/>
      </w:pPr>
      <w:r>
        <w:rPr>
          <w:rFonts w:ascii="Arial" w:cs="Arial" w:eastAsia="Arial" w:hAnsi="Arial"/>
          <w:b w:val="false"/>
          <w:bCs w:val="false"/>
          <w:color w:val="000000"/>
          <w:sz w:val="18"/>
          <w:szCs w:val="18"/>
        </w:rPr>
        <w:t xml:space="preserve">NVIDIA is not merely a cyclical semiconductor company — it is the platform company of the AI era, in the same way Microsoft was the platform of the PC era and Amazon was the platform of the cloud era. The market periodically fears that the AI capex cycle will slow, customers will build custom ASICs, or AMD will close the competitive gap. We believe each of these concerns is a misread. NVDA's CUDA software moat deepens with every developer, every model, every SDK that locks into the platform. The hardware lead — now extending to Blackwell and the forthcoming Rubin architecture — is not static; it compounds annually through co-design of chips, memory, networking, and systems.</w:t>
      </w:r>
    </w:p>
    <w:p>
      <w:pPr>
        <w:spacing w:before="0" w:after="100"/>
        <w:ind/>
        <w:jc w:val="left"/>
      </w:pPr>
      <w:r>
        <w:rPr>
          <w:rFonts w:ascii="Arial" w:cs="Arial" w:eastAsia="Arial" w:hAnsi="Arial"/>
          <w:b w:val="false"/>
          <w:bCs w:val="false"/>
          <w:color w:val="000000"/>
          <w:sz w:val="18"/>
          <w:szCs w:val="18"/>
        </w:rPr>
        <w:t xml:space="preserve">The market mispricing is a combination of extrapolating current hyperscaler capex uncertainty onto NVDA's multi-year pipeline, and failure to price the software/recurring revenue optionality. At current prices (~38x NTM earnings), NVDA trades at a modest PEG of approximately 0.09x on its 2-year EPS CAGR — suggesting the market is not pricing in the platform durability. Our $215 price target implies 19x FY2027 estimated EPS of ~$5.75, which we view as conservative given NVDA's demonstrated ability to surprise to the upside.</w:t>
      </w:r>
    </w:p>
    <w:p>
      <w:pPr>
        <w:pStyle w:val="Heading2"/>
        <w:spacing w:before="180" w:after="80"/>
      </w:pPr>
      <w:r>
        <w:rPr>
          <w:rFonts w:ascii="Arial" w:cs="Arial" w:eastAsia="Arial" w:hAnsi="Arial"/>
          <w:b/>
          <w:bCs/>
          <w:color w:val="2E4A6B"/>
          <w:sz w:val="22"/>
          <w:szCs w:val="22"/>
        </w:rPr>
        <w:t xml:space="preserve">The Three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6"/>
                <w:szCs w:val="16"/>
              </w:rPr>
              <w:t xml:space="preserve">PILLAR 1: The CUDA Moat Is Effectively Permanent</w:t>
            </w:r>
          </w:p>
        </w:tc>
        <w:tc>
          <w:tcPr>
            <w:tcW w:type="dxa" w:w="312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6"/>
                <w:szCs w:val="16"/>
              </w:rPr>
              <w:t xml:space="preserve">PILLAR 2: Blackwell Architecture Extends the Performance Lead</w:t>
            </w:r>
          </w:p>
        </w:tc>
        <w:tc>
          <w:tcPr>
            <w:tcW w:type="dxa" w:w="312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6"/>
                <w:szCs w:val="16"/>
              </w:rPr>
              <w:t xml:space="preserve">PILLAR 3: Inference and Agentic AI Are Underpenetrated New Vectors</w:t>
            </w:r>
          </w:p>
        </w:tc>
      </w:tr>
      <w:tr>
        <w:tc>
          <w:tcPr>
            <w:tcW w:type="dxa" w:w="3120"/>
            <w:gridSpan w:val="1"/>
            <w:tcBorders>
              <w:top w:val="single" w:color="C9A84C" w:sz="6"/>
              <w:left w:val="single" w:color="C9A84C" w:sz="6"/>
              <w:bottom w:val="single" w:color="C9A84C" w:sz="6"/>
              <w:right w:val="single" w:color="C9A84C" w:sz="6"/>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CUDA, launched in 2006, is now the world's most widely used parallel computing platform with 4+ million developers, 4,400+ supported applications, and 20 years of optimized libraries. Every AI researcher, ML engineer, and infrastructure team has built their workflows on CUDA. Switching costs are compounding: each new model trained on CUDA, each library optimized for NVDA hardware, each paper published using NVDA GPUs creates additional ecosystem lock-in. AMD's ROCm is technically capable but has minimal developer adoption — NVDA's software advantage cannot be erased in 3–5 years regardless of hardware parity. This moat is measurable: it directly explains NVDA's 70–85% GPU market share despite AMD offering competitive silicon at lower price points.</w:t>
            </w:r>
          </w:p>
        </w:tc>
        <w:tc>
          <w:tcPr>
            <w:tcW w:type="dxa" w:w="3120"/>
            <w:gridSpan w:val="1"/>
            <w:tcBorders>
              <w:top w:val="single" w:color="C9A84C" w:sz="6"/>
              <w:left w:val="single" w:color="C9A84C" w:sz="6"/>
              <w:bottom w:val="single" w:color="C9A84C" w:sz="6"/>
              <w:right w:val="single" w:color="C9A84C" w:sz="6"/>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NVDA began shipping Blackwell production systems in Q4 FY2025. The B200 GPU delivers 2.5x more training performance and 5x more inference throughput than H100 at comparable energy consumption. At a system level, GB200 NVL72 racks — which network 72 B200 GPUs via NVLink — are a qualitative step change from H100 DGX systems. Crucially, NVDA locks in multi-year capex commitments during architecture ramps: CSPs place orders 12–18 months forward. This means Blackwell demand visibility extends into FY2026-FY2027 regardless of near-term macro headwinds. A 100 bps improvement in gross margin from Blackwell mix (vs. H100) at $130B revenue adds $1.3B to EBITDA, or approximately $0.04 to EPS.</w:t>
            </w:r>
          </w:p>
        </w:tc>
        <w:tc>
          <w:tcPr>
            <w:tcW w:type="dxa" w:w="3120"/>
            <w:gridSpan w:val="1"/>
            <w:tcBorders>
              <w:top w:val="single" w:color="C9A84C" w:sz="6"/>
              <w:left w:val="single" w:color="C9A84C" w:sz="6"/>
              <w:bottom w:val="single" w:color="C9A84C" w:sz="6"/>
              <w:right w:val="single" w:color="C9A84C" w:sz="6"/>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Historically, NVDA's bull case centered on training compute. The emerging bull case — not yet consensus — is inference at scale. Every ChatGPT query, every AI copilot action, every AI-powered recommendation requires GPU inference. As agentic AI (systems that take autonomous multi-step actions) proliferates, inference intensity per user request increases 10–100x. NVDA's Hopper and Blackwell architectures, combined with TensorRT-LLM inference software, are purpose-built for this workload. Management indicated in FY2025 that inference is now the majority of Data Center GPU hours. This monetization vector extends NVDA's revenue durability well beyond the initial model training wave, and supports our above-consensus FY2027–FY2028 revenue assumptions.</w:t>
            </w:r>
          </w:p>
        </w:tc>
      </w:tr>
    </w:tbl>
    <w:p>
      <w:pPr>
        <w:spacing w:before="120" w:after="0"/>
      </w:pPr>
    </w:p>
    <w:p>
      <w:pPr>
        <w:pStyle w:val="Heading2"/>
        <w:spacing w:before="180" w:after="80"/>
      </w:pPr>
      <w:r>
        <w:rPr>
          <w:rFonts w:ascii="Arial" w:cs="Arial" w:eastAsia="Arial" w:hAnsi="Arial"/>
          <w:b/>
          <w:bCs/>
          <w:color w:val="2E4A6B"/>
          <w:sz w:val="22"/>
          <w:szCs w:val="22"/>
        </w:rPr>
        <w:t xml:space="preserve">Key Catalysts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900"/>
        <w:gridCol w:w="4860"/>
      </w:tblGrid>
      <w:tr>
        <w:tc>
          <w:tcPr>
            <w:tcW w:type="dxa" w:w="24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Catalyst</w:t>
            </w:r>
          </w:p>
        </w:tc>
        <w:tc>
          <w:tcPr>
            <w:tcW w:type="dxa" w:w="12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6"/>
                <w:szCs w:val="16"/>
              </w:rPr>
              <w:t xml:space="preserve">Expected Timing</w:t>
            </w:r>
          </w:p>
        </w:tc>
        <w:tc>
          <w:tcPr>
            <w:tcW w:type="dxa" w:w="9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6"/>
                <w:szCs w:val="16"/>
              </w:rPr>
              <w:t xml:space="preserve">Impact</w:t>
            </w:r>
          </w:p>
        </w:tc>
        <w:tc>
          <w:tcPr>
            <w:tcW w:type="dxa" w:w="486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Commentary</w:t>
            </w:r>
          </w:p>
        </w:tc>
      </w:tr>
      <w:tr>
        <w:tc>
          <w:tcPr>
            <w:tcW w:type="dxa" w:w="24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Q1 FY2026 Earnings Release</w:t>
            </w:r>
          </w:p>
        </w:tc>
        <w:tc>
          <w:tcPr>
            <w:tcW w:type="dxa" w:w="12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6"/>
                <w:szCs w:val="16"/>
              </w:rPr>
              <w:t xml:space="preserve">May 2026</w:t>
            </w:r>
          </w:p>
        </w:tc>
        <w:tc>
          <w:tcPr>
            <w:tcW w:type="dxa" w:w="90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14"/>
                <w:szCs w:val="14"/>
              </w:rPr>
              <w:t xml:space="preserve">HIGH</w:t>
            </w:r>
          </w:p>
        </w:tc>
        <w:tc>
          <w:tcPr>
            <w:tcW w:type="dxa" w:w="48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First full-quarter Blackwell revenue recognition; strong beat would confirm Blackwell ramp and potentially drive multiple re-rating. Data Center guidance for Q2 FY2026 is the key number.</w:t>
            </w:r>
          </w:p>
        </w:tc>
      </w:tr>
      <w:tr>
        <w:tc>
          <w:tcPr>
            <w:tcW w:type="dxa" w:w="24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Blackwell Full Production Ramp</w:t>
            </w:r>
          </w:p>
        </w:tc>
        <w:tc>
          <w:tcPr>
            <w:tcW w:type="dxa" w:w="12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6"/>
                <w:szCs w:val="16"/>
              </w:rPr>
              <w:t xml:space="preserve">Q1–Q2 FY2026</w:t>
            </w:r>
          </w:p>
        </w:tc>
        <w:tc>
          <w:tcPr>
            <w:tcW w:type="dxa" w:w="90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14"/>
                <w:szCs w:val="14"/>
              </w:rPr>
              <w:t xml:space="preserve">HIGH</w:t>
            </w:r>
          </w:p>
        </w:tc>
        <w:tc>
          <w:tcPr>
            <w:tcW w:type="dxa" w:w="486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NVDA began Blackwell production in Q4 FY2025 but ramp constrained by CoWoS packaging capacity. Full production normalization could unlock $20B+ incremental quarterly revenue vs. prior Hopper baseline.</w:t>
            </w:r>
          </w:p>
        </w:tc>
      </w:tr>
      <w:tr>
        <w:tc>
          <w:tcPr>
            <w:tcW w:type="dxa" w:w="24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Rubin Architecture Announcement/Reveal</w:t>
            </w:r>
          </w:p>
        </w:tc>
        <w:tc>
          <w:tcPr>
            <w:tcW w:type="dxa" w:w="12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6"/>
                <w:szCs w:val="16"/>
              </w:rPr>
              <w:t xml:space="preserve">H2 2026 (GTC or SC)</w:t>
            </w:r>
          </w:p>
        </w:tc>
        <w:tc>
          <w:tcPr>
            <w:tcW w:type="dxa" w:w="90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14"/>
                <w:szCs w:val="14"/>
              </w:rPr>
              <w:t xml:space="preserve">HIGH</w:t>
            </w:r>
          </w:p>
        </w:tc>
        <w:tc>
          <w:tcPr>
            <w:tcW w:type="dxa" w:w="48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Jensen Huang confirmed Rubin GPU (successor to Blackwell) in roadmap. Pre-announcement of specs would demonstrate NVDA's 2-year hardware lead cycle, locking in FY2027-FY2028 hyperscaler orders.</w:t>
            </w:r>
          </w:p>
        </w:tc>
      </w:tr>
      <w:tr>
        <w:tc>
          <w:tcPr>
            <w:tcW w:type="dxa" w:w="24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NVIDIA GTC 2026 Conference</w:t>
            </w:r>
          </w:p>
        </w:tc>
        <w:tc>
          <w:tcPr>
            <w:tcW w:type="dxa" w:w="12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6"/>
                <w:szCs w:val="16"/>
              </w:rPr>
              <w:t xml:space="preserve">March–April 2026</w:t>
            </w:r>
          </w:p>
        </w:tc>
        <w:tc>
          <w:tcPr>
            <w:tcW w:type="dxa" w:w="9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bCs/>
                <w:color w:val="404040"/>
                <w:sz w:val="14"/>
                <w:szCs w:val="14"/>
              </w:rPr>
              <w:t xml:space="preserve">MEDIUM</w:t>
            </w:r>
          </w:p>
        </w:tc>
        <w:tc>
          <w:tcPr>
            <w:tcW w:type="dxa" w:w="486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Annual developer conference where Jensen typically reveals new software SDKs, partnerships, and roadmap milestones. Announcement of new agentic AI or physical AI platforms would be positive catalysts.</w:t>
            </w:r>
          </w:p>
        </w:tc>
      </w:tr>
      <w:tr>
        <w:tc>
          <w:tcPr>
            <w:tcW w:type="dxa" w:w="24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Export Control Policy Update</w:t>
            </w:r>
          </w:p>
        </w:tc>
        <w:tc>
          <w:tcPr>
            <w:tcW w:type="dxa" w:w="12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6"/>
                <w:szCs w:val="16"/>
              </w:rPr>
              <w:t xml:space="preserve">Q1–Q2 2026</w:t>
            </w:r>
          </w:p>
        </w:tc>
        <w:tc>
          <w:tcPr>
            <w:tcW w:type="dxa" w:w="900"/>
            <w:gridSpan w:val="1"/>
            <w:tcBorders>
              <w:top w:val="single" w:color="D9D9D9" w:sz="6"/>
              <w:left w:val="single" w:color="D9D9D9" w:sz="6"/>
              <w:bottom w:val="single" w:color="D9D9D9" w:sz="6"/>
              <w:right w:val="single" w:color="D9D9D9" w:sz="6"/>
            </w:tcBorders>
            <w:shd w:fill="FFCCCC" w:val="clear"/>
            <w:tcMar>
              <w:top w:type="dxa" w:w="80"/>
              <w:left w:type="dxa" w:w="120"/>
              <w:bottom w:type="dxa" w:w="80"/>
              <w:right w:type="dxa" w:w="120"/>
            </w:tcMar>
            <w:vAlign w:val="center"/>
          </w:tcPr>
          <w:p>
            <w:pPr>
              <w:jc w:val="center"/>
            </w:pPr>
            <w:r>
              <w:rPr>
                <w:rFonts w:ascii="Arial" w:cs="Arial" w:eastAsia="Arial" w:hAnsi="Arial"/>
                <w:b/>
                <w:bCs/>
                <w:color w:val="9C0006"/>
                <w:sz w:val="14"/>
                <w:szCs w:val="14"/>
              </w:rPr>
              <w:t xml:space="preserve">BINARY</w:t>
            </w:r>
          </w:p>
        </w:tc>
        <w:tc>
          <w:tcPr>
            <w:tcW w:type="dxa" w:w="48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Trump administration reviewing AI Diffusion IFR rules. Relaxation of H200/B200 export restrictions to Middle East or China would be a significant positive; tightening would be negative. Currently a headwind.</w:t>
            </w:r>
          </w:p>
        </w:tc>
      </w:tr>
      <w:tr>
        <w:tc>
          <w:tcPr>
            <w:tcW w:type="dxa" w:w="24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Sovereign AI Design Wins</w:t>
            </w:r>
          </w:p>
        </w:tc>
        <w:tc>
          <w:tcPr>
            <w:tcW w:type="dxa" w:w="12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6"/>
                <w:szCs w:val="16"/>
              </w:rPr>
              <w:t xml:space="preserve">Ongoing</w:t>
            </w:r>
          </w:p>
        </w:tc>
        <w:tc>
          <w:tcPr>
            <w:tcW w:type="dxa" w:w="9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bCs/>
                <w:color w:val="404040"/>
                <w:sz w:val="14"/>
                <w:szCs w:val="14"/>
              </w:rPr>
              <w:t xml:space="preserve">MEDIUM</w:t>
            </w:r>
          </w:p>
        </w:tc>
        <w:tc>
          <w:tcPr>
            <w:tcW w:type="dxa" w:w="486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NVDA is winning national AI infrastructure contracts globally (Saudi Arabia $100B+ announced, UAE, India). Each win extends multi-year revenue backlog and demonstrates demand durability.</w:t>
            </w:r>
          </w:p>
        </w:tc>
      </w:tr>
      <w:tr>
        <w:tc>
          <w:tcPr>
            <w:tcW w:type="dxa" w:w="24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NVDA AI Enterprise Subscription Growth</w:t>
            </w:r>
          </w:p>
        </w:tc>
        <w:tc>
          <w:tcPr>
            <w:tcW w:type="dxa" w:w="12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6"/>
                <w:szCs w:val="16"/>
              </w:rPr>
              <w:t xml:space="preserve">Quarterly</w:t>
            </w:r>
          </w:p>
        </w:tc>
        <w:tc>
          <w:tcPr>
            <w:tcW w:type="dxa" w:w="9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bCs/>
                <w:color w:val="404040"/>
                <w:sz w:val="14"/>
                <w:szCs w:val="14"/>
              </w:rPr>
              <w:t xml:space="preserve">MEDIUM-LOW</w:t>
            </w:r>
          </w:p>
        </w:tc>
        <w:tc>
          <w:tcPr>
            <w:tcW w:type="dxa" w:w="48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Recurring software revenue from AI Enterprise is early-stage but growing. Acceleration in subscription attach rates would demonstrate software monetization layer, potentially supporting higher valuation multiple.</w:t>
            </w:r>
          </w:p>
        </w:tc>
      </w:tr>
    </w:tbl>
    <w:p>
      <w:pPr>
        <w:spacing w:before="120" w:after="0"/>
      </w:pPr>
    </w:p>
    <w:p>
      <w:pPr>
        <w:pStyle w:val="Heading2"/>
        <w:spacing w:before="180" w:after="80"/>
      </w:pPr>
      <w:r>
        <w:rPr>
          <w:rFonts w:ascii="Arial" w:cs="Arial" w:eastAsia="Arial" w:hAnsi="Arial"/>
          <w:b/>
          <w:bCs/>
          <w:color w:val="2E4A6B"/>
          <w:sz w:val="22"/>
          <w:szCs w:val="22"/>
        </w:rPr>
        <w:t xml:space="preserve">Competitive Moat</w:t>
      </w:r>
    </w:p>
    <w:p>
      <w:pPr>
        <w:pStyle w:val="ListParagraph"/>
        <w:numPr>
          <w:ilvl w:val="0"/>
          <w:numId w:val="2"/>
        </w:numPr>
        <w:spacing w:before="40" w:after="40"/>
      </w:pPr>
      <w:r>
        <w:rPr>
          <w:rFonts w:ascii="Arial" w:cs="Arial" w:eastAsia="Arial" w:hAnsi="Arial"/>
          <w:color w:val="000000"/>
          <w:sz w:val="18"/>
          <w:szCs w:val="18"/>
        </w:rPr>
        <w:t xml:space="preserve">CUDA Software Ecosystem (20-year compounding moat) — Over 4 million developers and 4,400+ applications are deeply integrated with CUDA. Every new model, library, and research paper published on CUDA increases the cost of switching. AMD's ROCm is functionally improving but lacks the developer ecosystem, optimization depth, and institutional momentum.</w:t>
      </w:r>
    </w:p>
    <w:p>
      <w:pPr>
        <w:pStyle w:val="ListParagraph"/>
        <w:numPr>
          <w:ilvl w:val="0"/>
          <w:numId w:val="2"/>
        </w:numPr>
        <w:spacing w:before="40" w:after="40"/>
      </w:pPr>
      <w:r>
        <w:rPr>
          <w:rFonts w:ascii="Arial" w:cs="Arial" w:eastAsia="Arial" w:hAnsi="Arial"/>
          <w:color w:val="000000"/>
          <w:sz w:val="18"/>
          <w:szCs w:val="18"/>
        </w:rPr>
        <w:t xml:space="preserve">NVLink Proprietary Networking — NVLink and NVSwitch interconnects allow NVDA GPUs to communicate at 900 GB/s bandwidth, enabling the 'one giant GPU' architecture required for frontier model training. No competitor offers equivalent GPU-to-GPU bandwidth, creating a systems-level moat that goes beyond individual chip performance.</w:t>
      </w:r>
    </w:p>
    <w:p>
      <w:pPr>
        <w:pStyle w:val="ListParagraph"/>
        <w:numPr>
          <w:ilvl w:val="0"/>
          <w:numId w:val="2"/>
        </w:numPr>
        <w:spacing w:before="40" w:after="40"/>
      </w:pPr>
      <w:r>
        <w:rPr>
          <w:rFonts w:ascii="Arial" w:cs="Arial" w:eastAsia="Arial" w:hAnsi="Arial"/>
          <w:color w:val="000000"/>
          <w:sz w:val="18"/>
          <w:szCs w:val="18"/>
        </w:rPr>
        <w:t xml:space="preserve">HBM Memory Integration &amp; Supply Agreements — NVDA co-designs HBM3e/HBM4 memory configurations with SK Hynix and Micron. Multi-year supply commitments and early HBM allocation agreements ensure NVDA gets priority access to the most critical AI GPU component, restricting competitor supply.</w:t>
      </w:r>
    </w:p>
    <w:p>
      <w:pPr>
        <w:pStyle w:val="ListParagraph"/>
        <w:numPr>
          <w:ilvl w:val="0"/>
          <w:numId w:val="2"/>
        </w:numPr>
        <w:spacing w:before="40" w:after="40"/>
      </w:pPr>
      <w:r>
        <w:rPr>
          <w:rFonts w:ascii="Arial" w:cs="Arial" w:eastAsia="Arial" w:hAnsi="Arial"/>
          <w:color w:val="000000"/>
          <w:sz w:val="18"/>
          <w:szCs w:val="18"/>
        </w:rPr>
        <w:t xml:space="preserve">Brand and Trust in Mission-Critical Workloads — AI training infrastructure is mission-critical. Hyperscalers are not willing to risk model training runs worth millions of dollars on unproven alternatives. NVDA's reputation for reliability, driver quality, and 24/7 enterprise support creates a trust moat that is difficult to quantify but measurable in customer retention and pricing power.</w:t>
      </w:r>
    </w:p>
    <w:p>
      <w:pPr>
        <w:spacing w:before="120" w:after="0"/>
      </w:pPr>
    </w:p>
    <w:p>
      <w:pPr>
        <w:pStyle w:val="Heading2"/>
        <w:spacing w:before="180" w:after="80"/>
      </w:pPr>
      <w:r>
        <w:rPr>
          <w:rFonts w:ascii="Arial" w:cs="Arial" w:eastAsia="Arial" w:hAnsi="Arial"/>
          <w:b/>
          <w:bCs/>
          <w:color w:val="2E4A6B"/>
          <w:sz w:val="22"/>
          <w:szCs w:val="22"/>
        </w:rPr>
        <w:t xml:space="preserve">Bull / Base / Bear Price Target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900"/>
        <w:gridCol w:w="4860"/>
      </w:tblGrid>
      <w:tr>
        <w:tc>
          <w:tcPr>
            <w:tcW w:type="dxa" w:w="12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6"/>
                <w:szCs w:val="16"/>
              </w:rPr>
              <w:t xml:space="preserve">Scenario</w:t>
            </w:r>
          </w:p>
        </w:tc>
        <w:tc>
          <w:tcPr>
            <w:tcW w:type="dxa" w:w="12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right"/>
            </w:pPr>
            <w:r>
              <w:rPr>
                <w:rFonts w:ascii="Arial" w:cs="Arial" w:eastAsia="Arial" w:hAnsi="Arial"/>
                <w:b/>
                <w:bCs/>
                <w:color w:val="FFFFFF"/>
                <w:sz w:val="16"/>
                <w:szCs w:val="16"/>
              </w:rPr>
              <w:t xml:space="preserve">Price Target</w:t>
            </w:r>
          </w:p>
        </w:tc>
        <w:tc>
          <w:tcPr>
            <w:tcW w:type="dxa" w:w="12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right"/>
            </w:pPr>
            <w:r>
              <w:rPr>
                <w:rFonts w:ascii="Arial" w:cs="Arial" w:eastAsia="Arial" w:hAnsi="Arial"/>
                <w:b/>
                <w:bCs/>
                <w:color w:val="FFFFFF"/>
                <w:sz w:val="16"/>
                <w:szCs w:val="16"/>
              </w:rPr>
              <w:t xml:space="preserve">Upside / (Down)</w:t>
            </w:r>
          </w:p>
        </w:tc>
        <w:tc>
          <w:tcPr>
            <w:tcW w:type="dxa" w:w="9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6"/>
                <w:szCs w:val="16"/>
              </w:rPr>
              <w:t xml:space="preserve">Probability</w:t>
            </w:r>
          </w:p>
        </w:tc>
        <w:tc>
          <w:tcPr>
            <w:tcW w:type="dxa" w:w="486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Key Assumptions</w:t>
            </w:r>
          </w:p>
        </w:tc>
      </w:tr>
      <w:tr>
        <w:tc>
          <w:tcPr>
            <w:tcW w:type="dxa" w:w="120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16"/>
                <w:szCs w:val="16"/>
              </w:rPr>
              <w:t xml:space="preserve">BULL CASE</w:t>
            </w:r>
          </w:p>
        </w:tc>
        <w:tc>
          <w:tcPr>
            <w:tcW w:type="dxa" w:w="120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right"/>
            </w:pPr>
            <w:r>
              <w:rPr>
                <w:rFonts w:ascii="Arial" w:cs="Arial" w:eastAsia="Arial" w:hAnsi="Arial"/>
                <w:b/>
                <w:bCs/>
                <w:color w:val="375623"/>
                <w:sz w:val="18"/>
                <w:szCs w:val="18"/>
              </w:rPr>
              <w:t xml:space="preserve">$300</w:t>
            </w:r>
          </w:p>
        </w:tc>
        <w:tc>
          <w:tcPr>
            <w:tcW w:type="dxa" w:w="120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right"/>
            </w:pPr>
            <w:r>
              <w:rPr>
                <w:rFonts w:ascii="Arial" w:cs="Arial" w:eastAsia="Arial" w:hAnsi="Arial"/>
                <w:b/>
                <w:bCs/>
                <w:color w:val="375623"/>
                <w:sz w:val="16"/>
                <w:szCs w:val="16"/>
              </w:rPr>
              <w:t xml:space="preserve">+65.4%</w:t>
            </w:r>
          </w:p>
        </w:tc>
        <w:tc>
          <w:tcPr>
            <w:tcW w:type="dxa" w:w="90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center"/>
            </w:pPr>
            <w:r>
              <w:rPr>
                <w:rFonts w:ascii="Arial" w:cs="Arial" w:eastAsia="Arial" w:hAnsi="Arial"/>
                <w:b w:val="false"/>
                <w:bCs w:val="false"/>
                <w:color w:val="375623"/>
                <w:sz w:val="16"/>
                <w:szCs w:val="16"/>
              </w:rPr>
              <w:t xml:space="preserve">25%</w:t>
            </w:r>
          </w:p>
        </w:tc>
        <w:tc>
          <w:tcPr>
            <w:tcW w:type="dxa" w:w="486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FY2026 revenue $220B (Blackwell ramp + Sovereign AI acceleration). EBITDA margin expands to 65%. Export controls relaxed. Applied 45x NTM P/E reflects software monetization inflection.</w:t>
            </w:r>
          </w:p>
        </w:tc>
      </w:tr>
      <w:tr>
        <w:tc>
          <w:tcPr>
            <w:tcW w:type="dxa" w:w="1200"/>
            <w:gridSpan w:val="1"/>
            <w:tcBorders>
              <w:top w:val="single" w:color="C9A84C" w:sz="6"/>
              <w:left w:val="single" w:color="C9A84C" w:sz="6"/>
              <w:bottom w:val="single" w:color="C9A84C" w:sz="6"/>
              <w:right w:val="single" w:color="C9A84C" w:sz="6"/>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BASE CASE</w:t>
            </w:r>
          </w:p>
        </w:tc>
        <w:tc>
          <w:tcPr>
            <w:tcW w:type="dxa" w:w="1200"/>
            <w:gridSpan w:val="1"/>
            <w:tcBorders>
              <w:top w:val="single" w:color="C9A84C" w:sz="6"/>
              <w:left w:val="single" w:color="C9A84C" w:sz="6"/>
              <w:bottom w:val="single" w:color="C9A84C" w:sz="6"/>
              <w:right w:val="single" w:color="C9A84C" w:sz="6"/>
            </w:tcBorders>
            <w:shd w:fill="FFF2CC" w:val="clear"/>
            <w:tcMar>
              <w:top w:type="dxa" w:w="80"/>
              <w:left w:type="dxa" w:w="120"/>
              <w:bottom w:type="dxa" w:w="80"/>
              <w:right w:type="dxa" w:w="120"/>
            </w:tcMar>
            <w:vAlign w:val="center"/>
          </w:tcPr>
          <w:p>
            <w:pPr>
              <w:jc w:val="right"/>
            </w:pPr>
            <w:r>
              <w:rPr>
                <w:rFonts w:ascii="Arial" w:cs="Arial" w:eastAsia="Arial" w:hAnsi="Arial"/>
                <w:b/>
                <w:bCs/>
                <w:color w:val="1F3864"/>
                <w:sz w:val="20"/>
                <w:szCs w:val="20"/>
              </w:rPr>
              <w:t xml:space="preserve">$215</w:t>
            </w:r>
          </w:p>
        </w:tc>
        <w:tc>
          <w:tcPr>
            <w:tcW w:type="dxa" w:w="1200"/>
            <w:gridSpan w:val="1"/>
            <w:tcBorders>
              <w:top w:val="single" w:color="C9A84C" w:sz="6"/>
              <w:left w:val="single" w:color="C9A84C" w:sz="6"/>
              <w:bottom w:val="single" w:color="C9A84C" w:sz="6"/>
              <w:right w:val="single" w:color="C9A84C" w:sz="6"/>
            </w:tcBorders>
            <w:shd w:fill="FFF2CC" w:val="clear"/>
            <w:tcMar>
              <w:top w:type="dxa" w:w="80"/>
              <w:left w:type="dxa" w:w="120"/>
              <w:bottom w:type="dxa" w:w="80"/>
              <w:right w:type="dxa" w:w="120"/>
            </w:tcMar>
            <w:vAlign w:val="center"/>
          </w:tcPr>
          <w:p>
            <w:pPr>
              <w:jc w:val="right"/>
            </w:pPr>
            <w:r>
              <w:rPr>
                <w:rFonts w:ascii="Arial" w:cs="Arial" w:eastAsia="Arial" w:hAnsi="Arial"/>
                <w:b/>
                <w:bCs/>
                <w:color w:val="1F3864"/>
                <w:sz w:val="18"/>
                <w:szCs w:val="18"/>
              </w:rPr>
              <w:t xml:space="preserve">+18.6%</w:t>
            </w:r>
          </w:p>
        </w:tc>
        <w:tc>
          <w:tcPr>
            <w:tcW w:type="dxa" w:w="900"/>
            <w:gridSpan w:val="1"/>
            <w:tcBorders>
              <w:top w:val="single" w:color="C9A84C" w:sz="6"/>
              <w:left w:val="single" w:color="C9A84C" w:sz="6"/>
              <w:bottom w:val="single" w:color="C9A84C" w:sz="6"/>
              <w:right w:val="single" w:color="C9A84C" w:sz="6"/>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60%</w:t>
            </w:r>
          </w:p>
        </w:tc>
        <w:tc>
          <w:tcPr>
            <w:tcW w:type="dxa" w:w="4860"/>
            <w:gridSpan w:val="1"/>
            <w:tcBorders>
              <w:top w:val="single" w:color="C9A84C" w:sz="6"/>
              <w:left w:val="single" w:color="C9A84C" w:sz="6"/>
              <w:bottom w:val="single" w:color="C9A84C" w:sz="6"/>
              <w:right w:val="single" w:color="C9A84C" w:sz="6"/>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FY2026 revenue $180–200B. EBITDA margin ~62%. Blackwell ramp on track; export controls unchanged. Blended 38x NTM P/E / DCF average. This is our price target scenario.</w:t>
            </w:r>
          </w:p>
        </w:tc>
      </w:tr>
      <w:tr>
        <w:tc>
          <w:tcPr>
            <w:tcW w:type="dxa" w:w="1200"/>
            <w:gridSpan w:val="1"/>
            <w:tcBorders>
              <w:top w:val="single" w:color="D9D9D9" w:sz="6"/>
              <w:left w:val="single" w:color="D9D9D9" w:sz="6"/>
              <w:bottom w:val="single" w:color="D9D9D9" w:sz="6"/>
              <w:right w:val="single" w:color="D9D9D9" w:sz="6"/>
            </w:tcBorders>
            <w:shd w:fill="FFCCCC" w:val="clear"/>
            <w:tcMar>
              <w:top w:type="dxa" w:w="80"/>
              <w:left w:type="dxa" w:w="120"/>
              <w:bottom w:type="dxa" w:w="80"/>
              <w:right w:type="dxa" w:w="120"/>
            </w:tcMar>
            <w:vAlign w:val="center"/>
          </w:tcPr>
          <w:p>
            <w:pPr>
              <w:jc w:val="center"/>
            </w:pPr>
            <w:r>
              <w:rPr>
                <w:rFonts w:ascii="Arial" w:cs="Arial" w:eastAsia="Arial" w:hAnsi="Arial"/>
                <w:b/>
                <w:bCs/>
                <w:color w:val="9C0006"/>
                <w:sz w:val="16"/>
                <w:szCs w:val="16"/>
              </w:rPr>
              <w:t xml:space="preserve">BEAR CASE</w:t>
            </w:r>
          </w:p>
        </w:tc>
        <w:tc>
          <w:tcPr>
            <w:tcW w:type="dxa" w:w="1200"/>
            <w:gridSpan w:val="1"/>
            <w:tcBorders>
              <w:top w:val="single" w:color="D9D9D9" w:sz="6"/>
              <w:left w:val="single" w:color="D9D9D9" w:sz="6"/>
              <w:bottom w:val="single" w:color="D9D9D9" w:sz="6"/>
              <w:right w:val="single" w:color="D9D9D9" w:sz="6"/>
            </w:tcBorders>
            <w:shd w:fill="FFCCCC" w:val="clear"/>
            <w:tcMar>
              <w:top w:type="dxa" w:w="80"/>
              <w:left w:type="dxa" w:w="120"/>
              <w:bottom w:type="dxa" w:w="80"/>
              <w:right w:type="dxa" w:w="120"/>
            </w:tcMar>
            <w:vAlign w:val="center"/>
          </w:tcPr>
          <w:p>
            <w:pPr>
              <w:jc w:val="right"/>
            </w:pPr>
            <w:r>
              <w:rPr>
                <w:rFonts w:ascii="Arial" w:cs="Arial" w:eastAsia="Arial" w:hAnsi="Arial"/>
                <w:b/>
                <w:bCs/>
                <w:color w:val="9C0006"/>
                <w:sz w:val="18"/>
                <w:szCs w:val="18"/>
              </w:rPr>
              <w:t xml:space="preserve">$120</w:t>
            </w:r>
          </w:p>
        </w:tc>
        <w:tc>
          <w:tcPr>
            <w:tcW w:type="dxa" w:w="1200"/>
            <w:gridSpan w:val="1"/>
            <w:tcBorders>
              <w:top w:val="single" w:color="D9D9D9" w:sz="6"/>
              <w:left w:val="single" w:color="D9D9D9" w:sz="6"/>
              <w:bottom w:val="single" w:color="D9D9D9" w:sz="6"/>
              <w:right w:val="single" w:color="D9D9D9" w:sz="6"/>
            </w:tcBorders>
            <w:shd w:fill="FFCCCC" w:val="clear"/>
            <w:tcMar>
              <w:top w:type="dxa" w:w="80"/>
              <w:left w:type="dxa" w:w="120"/>
              <w:bottom w:type="dxa" w:w="80"/>
              <w:right w:type="dxa" w:w="120"/>
            </w:tcMar>
            <w:vAlign w:val="center"/>
          </w:tcPr>
          <w:p>
            <w:pPr>
              <w:jc w:val="right"/>
            </w:pPr>
            <w:r>
              <w:rPr>
                <w:rFonts w:ascii="Arial" w:cs="Arial" w:eastAsia="Arial" w:hAnsi="Arial"/>
                <w:b/>
                <w:bCs/>
                <w:color w:val="9C0006"/>
                <w:sz w:val="16"/>
                <w:szCs w:val="16"/>
              </w:rPr>
              <w:t xml:space="preserve">-33.9%</w:t>
            </w:r>
          </w:p>
        </w:tc>
        <w:tc>
          <w:tcPr>
            <w:tcW w:type="dxa" w:w="900"/>
            <w:gridSpan w:val="1"/>
            <w:tcBorders>
              <w:top w:val="single" w:color="D9D9D9" w:sz="6"/>
              <w:left w:val="single" w:color="D9D9D9" w:sz="6"/>
              <w:bottom w:val="single" w:color="D9D9D9" w:sz="6"/>
              <w:right w:val="single" w:color="D9D9D9" w:sz="6"/>
            </w:tcBorders>
            <w:shd w:fill="FFCCCC" w:val="clear"/>
            <w:tcMar>
              <w:top w:type="dxa" w:w="80"/>
              <w:left w:type="dxa" w:w="120"/>
              <w:bottom w:type="dxa" w:w="80"/>
              <w:right w:type="dxa" w:w="120"/>
            </w:tcMar>
            <w:vAlign w:val="center"/>
          </w:tcPr>
          <w:p>
            <w:pPr>
              <w:jc w:val="center"/>
            </w:pPr>
            <w:r>
              <w:rPr>
                <w:rFonts w:ascii="Arial" w:cs="Arial" w:eastAsia="Arial" w:hAnsi="Arial"/>
                <w:b w:val="false"/>
                <w:bCs w:val="false"/>
                <w:color w:val="9C0006"/>
                <w:sz w:val="16"/>
                <w:szCs w:val="16"/>
              </w:rPr>
              <w:t xml:space="preserve">15%</w:t>
            </w:r>
          </w:p>
        </w:tc>
        <w:tc>
          <w:tcPr>
            <w:tcW w:type="dxa" w:w="4860"/>
            <w:gridSpan w:val="1"/>
            <w:tcBorders>
              <w:top w:val="single" w:color="D9D9D9" w:sz="6"/>
              <w:left w:val="single" w:color="D9D9D9" w:sz="6"/>
              <w:bottom w:val="single" w:color="D9D9D9" w:sz="6"/>
              <w:right w:val="single" w:color="D9D9D9" w:sz="6"/>
            </w:tcBorders>
            <w:shd w:fill="FFCCCC" w:val="clear"/>
            <w:tcMar>
              <w:top w:type="dxa" w:w="80"/>
              <w:left w:type="dxa" w:w="120"/>
              <w:bottom w:type="dxa" w:w="80"/>
              <w:right w:type="dxa" w:w="120"/>
            </w:tcMar>
            <w:vAlign w:val="center"/>
          </w:tcPr>
          <w:p>
            <w:pPr>
              <w:jc w:val="left"/>
            </w:pPr>
            <w:r>
              <w:rPr>
                <w:rFonts w:ascii="Arial" w:cs="Arial" w:eastAsia="Arial" w:hAnsi="Arial"/>
                <w:b w:val="false"/>
                <w:bCs w:val="false"/>
                <w:color w:val="404040"/>
                <w:sz w:val="16"/>
                <w:szCs w:val="16"/>
              </w:rPr>
              <w:t xml:space="preserve">AI capex digestion cycle; major hyperscaler order deferrals. AMD captures 20%+ GPU share. Export controls tightened materially. FY2026 revenue $130B; P/E contracts to 28x on reduced EPS growth.</w:t>
            </w:r>
          </w:p>
        </w:tc>
      </w:tr>
      <w:tr>
        <w:tc>
          <w:tcPr>
            <w:tcW w:type="dxa" w:w="2400"/>
            <w:gridSpan w:val="2"/>
            <w:tcBorders>
              <w:top w:val="single" w:color="1F3864" w:sz="6"/>
              <w:left w:val="single" w:color="1F3864" w:sz="6"/>
              <w:bottom w:val="single" w:color="1F3864" w:sz="6"/>
              <w:right w:val="single" w:color="1F3864" w:sz="6"/>
            </w:tcBorders>
            <w:shd w:fill="D9E2F3"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Probability-Weighted Value</w:t>
            </w:r>
          </w:p>
        </w:tc>
        <w:tc>
          <w:tcPr>
            <w:tcW w:type="dxa" w:w="1200"/>
            <w:gridSpan w:val="1"/>
            <w:tcBorders>
              <w:top w:val="single" w:color="1F3864" w:sz="6"/>
              <w:left w:val="single" w:color="1F3864" w:sz="6"/>
              <w:bottom w:val="single" w:color="1F3864" w:sz="6"/>
              <w:right w:val="single" w:color="1F3864" w:sz="6"/>
            </w:tcBorders>
            <w:shd w:fill="D9E2F3" w:val="clear"/>
            <w:tcMar>
              <w:top w:type="dxa" w:w="80"/>
              <w:left w:type="dxa" w:w="120"/>
              <w:bottom w:type="dxa" w:w="80"/>
              <w:right w:type="dxa" w:w="120"/>
            </w:tcMar>
            <w:vAlign w:val="center"/>
          </w:tcPr>
          <w:p>
            <w:pPr>
              <w:jc w:val="right"/>
            </w:pPr>
            <w:r>
              <w:rPr>
                <w:rFonts w:ascii="Arial" w:cs="Arial" w:eastAsia="Arial" w:hAnsi="Arial"/>
                <w:b/>
                <w:bCs/>
                <w:color w:val="1F3864"/>
                <w:sz w:val="18"/>
                <w:szCs w:val="18"/>
              </w:rPr>
              <w:t xml:space="preserve">$214</w:t>
            </w:r>
          </w:p>
        </w:tc>
        <w:tc>
          <w:tcPr>
            <w:tcW w:type="dxa" w:w="900"/>
            <w:gridSpan w:val="1"/>
            <w:tcBorders>
              <w:top w:val="single" w:color="1F3864" w:sz="6"/>
              <w:left w:val="single" w:color="1F3864" w:sz="6"/>
              <w:bottom w:val="single" w:color="1F3864" w:sz="6"/>
              <w:right w:val="single" w:color="1F3864" w:sz="6"/>
            </w:tcBorders>
            <w:shd w:fill="D9E2F3" w:val="clear"/>
            <w:tcMar>
              <w:top w:type="dxa" w:w="80"/>
              <w:left w:type="dxa" w:w="120"/>
              <w:bottom w:type="dxa" w:w="80"/>
              <w:right w:type="dxa" w:w="120"/>
            </w:tcMar>
            <w:vAlign w:val="center"/>
          </w:tcPr>
          <w:p>
            <w:pPr>
              <w:jc w:val="center"/>
            </w:pPr>
            <w:r>
              <w:rPr>
                <w:rFonts w:ascii="Arial" w:cs="Arial" w:eastAsia="Arial" w:hAnsi="Arial"/>
                <w:b/>
                <w:bCs/>
                <w:color w:val="1F3864"/>
                <w:sz w:val="16"/>
                <w:szCs w:val="16"/>
              </w:rPr>
              <w:t xml:space="preserve">100%</w:t>
            </w:r>
          </w:p>
        </w:tc>
        <w:tc>
          <w:tcPr>
            <w:tcW w:type="dxa" w:w="4860"/>
            <w:gridSpan w:val="1"/>
            <w:tcBorders>
              <w:top w:val="single" w:color="1F3864" w:sz="6"/>
              <w:left w:val="single" w:color="1F3864" w:sz="6"/>
              <w:bottom w:val="single" w:color="1F3864" w:sz="6"/>
              <w:right w:val="single" w:color="1F3864" w:sz="6"/>
            </w:tcBorders>
            <w:shd w:fill="D9E2F3" w:val="clear"/>
            <w:tcMar>
              <w:top w:type="dxa" w:w="80"/>
              <w:left w:type="dxa" w:w="120"/>
              <w:bottom w:type="dxa" w:w="80"/>
              <w:right w:type="dxa" w:w="120"/>
            </w:tcMar>
            <w:vAlign w:val="center"/>
          </w:tcPr>
          <w:p>
            <w:pPr>
              <w:jc w:val="left"/>
            </w:pPr>
            <w:r>
              <w:rPr>
                <w:rFonts w:ascii="Arial" w:cs="Arial" w:eastAsia="Arial" w:hAnsi="Arial"/>
                <w:b/>
                <w:bCs/>
                <w:color w:val="1F3864"/>
                <w:sz w:val="16"/>
                <w:szCs w:val="16"/>
              </w:rPr>
              <w:t xml:space="preserve">$300×25% + $215×60% + $120×15% = $214; approximately consistent with our $215 blended price target.</w:t>
            </w:r>
          </w:p>
        </w:tc>
      </w:tr>
    </w:tbl>
    <w:p/>
    <w:p>
      <w:pPr>
        <w:pStyle w:val="Heading1"/>
        <w:pBdr>
          <w:bottom w:val="single" w:color="1F3864" w:sz="12"/>
        </w:pBdr>
        <w:spacing w:before="240" w:after="120"/>
      </w:pPr>
      <w:r>
        <w:rPr>
          <w:rFonts w:ascii="Arial" w:cs="Arial" w:eastAsia="Arial" w:hAnsi="Arial"/>
          <w:b/>
          <w:bCs/>
          <w:color w:val="1F3864"/>
          <w:sz w:val="26"/>
          <w:szCs w:val="26"/>
        </w:rPr>
        <w:t xml:space="preserve">4.  RISK FACTORS</w:t>
      </w:r>
    </w:p>
    <w:p>
      <w:pPr>
        <w:pStyle w:val="Heading2"/>
        <w:spacing w:before="180" w:after="80"/>
      </w:pPr>
      <w:r>
        <w:rPr>
          <w:rFonts w:ascii="Arial" w:cs="Arial" w:eastAsia="Arial" w:hAnsi="Arial"/>
          <w:b/>
          <w:bCs/>
          <w:color w:val="2E4A6B"/>
          <w:sz w:val="22"/>
          <w:szCs w:val="22"/>
        </w:rPr>
        <w:t xml:space="preserve">Risk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0"/>
        <w:gridCol w:w="600"/>
        <w:gridCol w:w="5160"/>
      </w:tblGrid>
      <w:tr>
        <w:tc>
          <w:tcPr>
            <w:tcW w:type="dxa" w:w="18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Risk</w:t>
            </w:r>
          </w:p>
        </w:tc>
        <w:tc>
          <w:tcPr>
            <w:tcW w:type="dxa" w:w="12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Category</w:t>
            </w:r>
          </w:p>
        </w:tc>
        <w:tc>
          <w:tcPr>
            <w:tcW w:type="dxa" w:w="6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6"/>
                <w:szCs w:val="16"/>
              </w:rPr>
              <w:t xml:space="preserve">Sev.</w:t>
            </w:r>
          </w:p>
        </w:tc>
        <w:tc>
          <w:tcPr>
            <w:tcW w:type="dxa" w:w="6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6"/>
                <w:szCs w:val="16"/>
              </w:rPr>
              <w:t xml:space="preserve">Like.</w:t>
            </w:r>
          </w:p>
        </w:tc>
        <w:tc>
          <w:tcPr>
            <w:tcW w:type="dxa" w:w="516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Description &amp; Mitigant</w:t>
            </w:r>
          </w:p>
        </w:tc>
      </w:tr>
      <w:tr>
        <w:tc>
          <w:tcPr>
            <w:tcW w:type="dxa" w:w="18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US Export Control Tightening</w:t>
            </w:r>
          </w:p>
        </w:tc>
        <w:tc>
          <w:tcPr>
            <w:tcW w:type="dxa" w:w="12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Regulatory</w:t>
            </w:r>
          </w:p>
        </w:tc>
        <w:tc>
          <w:tcPr>
            <w:tcW w:type="dxa" w:w="600"/>
            <w:gridSpan w:val="1"/>
            <w:tcBorders>
              <w:top w:val="single" w:color="D9D9D9" w:sz="6"/>
              <w:left w:val="single" w:color="D9D9D9" w:sz="6"/>
              <w:bottom w:val="single" w:color="D9D9D9" w:sz="6"/>
              <w:right w:val="single" w:color="D9D9D9" w:sz="6"/>
            </w:tcBorders>
            <w:shd w:fill="FFCCCC" w:val="clear"/>
            <w:tcMar>
              <w:top w:type="dxa" w:w="80"/>
              <w:left w:type="dxa" w:w="120"/>
              <w:bottom w:type="dxa" w:w="80"/>
              <w:right w:type="dxa" w:w="120"/>
            </w:tcMar>
            <w:vAlign w:val="center"/>
          </w:tcPr>
          <w:p>
            <w:pPr>
              <w:jc w:val="center"/>
            </w:pPr>
            <w:r>
              <w:rPr>
                <w:rFonts w:ascii="Arial" w:cs="Arial" w:eastAsia="Arial" w:hAnsi="Arial"/>
                <w:b/>
                <w:bCs/>
                <w:color w:val="9C0006"/>
                <w:sz w:val="16"/>
                <w:szCs w:val="16"/>
              </w:rPr>
              <w:t xml:space="preserve">H</w:t>
            </w:r>
          </w:p>
        </w:tc>
        <w:tc>
          <w:tcPr>
            <w:tcW w:type="dxa" w:w="600"/>
            <w:gridSpan w:val="1"/>
            <w:tcBorders>
              <w:top w:val="single" w:color="D9D9D9" w:sz="6"/>
              <w:left w:val="single" w:color="D9D9D9" w:sz="6"/>
              <w:bottom w:val="single" w:color="D9D9D9" w:sz="6"/>
              <w:right w:val="single" w:color="D9D9D9" w:sz="6"/>
            </w:tcBorders>
            <w:shd w:fill="FFCCCC" w:val="clear"/>
            <w:tcMar>
              <w:top w:type="dxa" w:w="80"/>
              <w:left w:type="dxa" w:w="120"/>
              <w:bottom w:type="dxa" w:w="80"/>
              <w:right w:type="dxa" w:w="120"/>
            </w:tcMar>
            <w:vAlign w:val="center"/>
          </w:tcPr>
          <w:p>
            <w:pPr>
              <w:jc w:val="center"/>
            </w:pPr>
            <w:r>
              <w:rPr>
                <w:rFonts w:ascii="Arial" w:cs="Arial" w:eastAsia="Arial" w:hAnsi="Arial"/>
                <w:b/>
                <w:bCs/>
                <w:color w:val="9C0006"/>
                <w:sz w:val="16"/>
                <w:szCs w:val="16"/>
              </w:rPr>
              <w:t xml:space="preserve">H</w:t>
            </w:r>
          </w:p>
        </w:tc>
        <w:tc>
          <w:tcPr>
            <w:tcW w:type="dxa" w:w="51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US government expanded export controls on A100/H100/Blackwell to China in Oct 2023 and Jan 2025 (AI Diffusion IFR). China represented ~13% of revenue pre-controls; now structurally lower. Further tightening to key markets (Middle East) would reduce TAM. Mitigant: NVDA is developing compliant products; diversifying to non-restricted geographies.</w:t>
            </w:r>
          </w:p>
        </w:tc>
      </w:tr>
      <w:tr>
        <w:tc>
          <w:tcPr>
            <w:tcW w:type="dxa" w:w="18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Customer Concentration &amp; CSP Capex Cyclicality</w:t>
            </w:r>
          </w:p>
        </w:tc>
        <w:tc>
          <w:tcPr>
            <w:tcW w:type="dxa" w:w="12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Business</w:t>
            </w:r>
          </w:p>
        </w:tc>
        <w:tc>
          <w:tcPr>
            <w:tcW w:type="dxa" w:w="600"/>
            <w:gridSpan w:val="1"/>
            <w:tcBorders>
              <w:top w:val="single" w:color="D9D9D9" w:sz="6"/>
              <w:left w:val="single" w:color="D9D9D9" w:sz="6"/>
              <w:bottom w:val="single" w:color="D9D9D9" w:sz="6"/>
              <w:right w:val="single" w:color="D9D9D9" w:sz="6"/>
            </w:tcBorders>
            <w:shd w:fill="FFCCCC" w:val="clear"/>
            <w:tcMar>
              <w:top w:type="dxa" w:w="80"/>
              <w:left w:type="dxa" w:w="120"/>
              <w:bottom w:type="dxa" w:w="80"/>
              <w:right w:type="dxa" w:w="120"/>
            </w:tcMar>
            <w:vAlign w:val="center"/>
          </w:tcPr>
          <w:p>
            <w:pPr>
              <w:jc w:val="center"/>
            </w:pPr>
            <w:r>
              <w:rPr>
                <w:rFonts w:ascii="Arial" w:cs="Arial" w:eastAsia="Arial" w:hAnsi="Arial"/>
                <w:b/>
                <w:bCs/>
                <w:color w:val="9C0006"/>
                <w:sz w:val="16"/>
                <w:szCs w:val="16"/>
              </w:rPr>
              <w:t xml:space="preserve">H</w:t>
            </w:r>
          </w:p>
        </w:tc>
        <w:tc>
          <w:tcPr>
            <w:tcW w:type="dxa" w:w="6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bCs/>
                <w:color w:val="404040"/>
                <w:sz w:val="16"/>
                <w:szCs w:val="16"/>
              </w:rPr>
              <w:t xml:space="preserve">M</w:t>
            </w:r>
          </w:p>
        </w:tc>
        <w:tc>
          <w:tcPr>
            <w:tcW w:type="dxa" w:w="516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Three direct customers each represent 10–12% of FY2025 revenue; an indirect customer &gt;10% as well. Total hyperscaler exposure ~60%+ of revenue. Any major capex digestion cycle or CSP budget reallocation could cause revenue lumpy downside. Mitigant: Multi-year purchase commitments; diverse set of CSPs.</w:t>
            </w:r>
          </w:p>
        </w:tc>
      </w:tr>
      <w:tr>
        <w:tc>
          <w:tcPr>
            <w:tcW w:type="dxa" w:w="18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AMD &amp; Custom ASIC Competition</w:t>
            </w:r>
          </w:p>
        </w:tc>
        <w:tc>
          <w:tcPr>
            <w:tcW w:type="dxa" w:w="12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Competitive</w:t>
            </w:r>
          </w:p>
        </w:tc>
        <w:tc>
          <w:tcPr>
            <w:tcW w:type="dxa" w:w="6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bCs/>
                <w:color w:val="404040"/>
                <w:sz w:val="16"/>
                <w:szCs w:val="16"/>
              </w:rPr>
              <w:t xml:space="preserve">M</w:t>
            </w:r>
          </w:p>
        </w:tc>
        <w:tc>
          <w:tcPr>
            <w:tcW w:type="dxa" w:w="6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bCs/>
                <w:color w:val="404040"/>
                <w:sz w:val="16"/>
                <w:szCs w:val="16"/>
              </w:rPr>
              <w:t xml:space="preserve">M</w:t>
            </w:r>
          </w:p>
        </w:tc>
        <w:tc>
          <w:tcPr>
            <w:tcW w:type="dxa" w:w="51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AMD MI300X gaining design wins at Microsoft and Meta for specific inference workloads. Google TPU, Amazon Trainium/Inferentia, Microsoft Maia are purpose-built for internal workloads. Combined share could erode NVDA's 80%+ market position. Mitigant: CUDA moat; NVDA accelerates hardware roadmap (Blackwell → Rubin).</w:t>
            </w:r>
          </w:p>
        </w:tc>
      </w:tr>
      <w:tr>
        <w:tc>
          <w:tcPr>
            <w:tcW w:type="dxa" w:w="18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TSMC Geopolitical / Supply Risk</w:t>
            </w:r>
          </w:p>
        </w:tc>
        <w:tc>
          <w:tcPr>
            <w:tcW w:type="dxa" w:w="12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Geopolitical</w:t>
            </w:r>
          </w:p>
        </w:tc>
        <w:tc>
          <w:tcPr>
            <w:tcW w:type="dxa" w:w="600"/>
            <w:gridSpan w:val="1"/>
            <w:tcBorders>
              <w:top w:val="single" w:color="D9D9D9" w:sz="6"/>
              <w:left w:val="single" w:color="D9D9D9" w:sz="6"/>
              <w:bottom w:val="single" w:color="D9D9D9" w:sz="6"/>
              <w:right w:val="single" w:color="D9D9D9" w:sz="6"/>
            </w:tcBorders>
            <w:shd w:fill="FFCCCC" w:val="clear"/>
            <w:tcMar>
              <w:top w:type="dxa" w:w="80"/>
              <w:left w:type="dxa" w:w="120"/>
              <w:bottom w:type="dxa" w:w="80"/>
              <w:right w:type="dxa" w:w="120"/>
            </w:tcMar>
            <w:vAlign w:val="center"/>
          </w:tcPr>
          <w:p>
            <w:pPr>
              <w:jc w:val="center"/>
            </w:pPr>
            <w:r>
              <w:rPr>
                <w:rFonts w:ascii="Arial" w:cs="Arial" w:eastAsia="Arial" w:hAnsi="Arial"/>
                <w:b/>
                <w:bCs/>
                <w:color w:val="9C0006"/>
                <w:sz w:val="16"/>
                <w:szCs w:val="16"/>
              </w:rPr>
              <w:t xml:space="preserve">H</w:t>
            </w:r>
          </w:p>
        </w:tc>
        <w:tc>
          <w:tcPr>
            <w:tcW w:type="dxa" w:w="6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bCs/>
                <w:color w:val="404040"/>
                <w:sz w:val="16"/>
                <w:szCs w:val="16"/>
              </w:rPr>
              <w:t xml:space="preserve">L</w:t>
            </w:r>
          </w:p>
        </w:tc>
        <w:tc>
          <w:tcPr>
            <w:tcW w:type="dxa" w:w="516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~90% of NVDA's leading-edge AI GPUs are manufactured at TSMC in Taiwan. US-China tensions and potential Taiwan conflict represent a tail risk to production continuity. Mitigant: TSMC building AZ fabs (Arizona); NVDA diversifying to Samsung; US CHIPS Act backstop. Near-term risk is low but existential if realized.</w:t>
            </w:r>
          </w:p>
        </w:tc>
      </w:tr>
      <w:tr>
        <w:tc>
          <w:tcPr>
            <w:tcW w:type="dxa" w:w="18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AI Capex Digestion Cycle</w:t>
            </w:r>
          </w:p>
        </w:tc>
        <w:tc>
          <w:tcPr>
            <w:tcW w:type="dxa" w:w="12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Macro</w:t>
            </w:r>
          </w:p>
        </w:tc>
        <w:tc>
          <w:tcPr>
            <w:tcW w:type="dxa" w:w="6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bCs/>
                <w:color w:val="404040"/>
                <w:sz w:val="16"/>
                <w:szCs w:val="16"/>
              </w:rPr>
              <w:t xml:space="preserve">M</w:t>
            </w:r>
          </w:p>
        </w:tc>
        <w:tc>
          <w:tcPr>
            <w:tcW w:type="dxa" w:w="6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bCs/>
                <w:color w:val="404040"/>
                <w:sz w:val="16"/>
                <w:szCs w:val="16"/>
              </w:rPr>
              <w:t xml:space="preserve">M</w:t>
            </w:r>
          </w:p>
        </w:tc>
        <w:tc>
          <w:tcPr>
            <w:tcW w:type="dxa" w:w="51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Hyperscalers and AI companies are spending record capex; markets fear a pause or slowdown after initial buildout. Historical precedent (2022–2023 cloud slowdown) shows demand can soften. NVDA carries $30.8B in inventory purchase commitments — significant if orders slow. Mitigant: Long lead times mean demand signals are visible 12+ months forward.</w:t>
            </w:r>
          </w:p>
        </w:tc>
      </w:tr>
      <w:tr>
        <w:tc>
          <w:tcPr>
            <w:tcW w:type="dxa" w:w="18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HBM Memory Supply Constraints</w:t>
            </w:r>
          </w:p>
        </w:tc>
        <w:tc>
          <w:tcPr>
            <w:tcW w:type="dxa" w:w="12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Supply Chain</w:t>
            </w:r>
          </w:p>
        </w:tc>
        <w:tc>
          <w:tcPr>
            <w:tcW w:type="dxa" w:w="6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bCs/>
                <w:color w:val="404040"/>
                <w:sz w:val="16"/>
                <w:szCs w:val="16"/>
              </w:rPr>
              <w:t xml:space="preserve">M</w:t>
            </w:r>
          </w:p>
        </w:tc>
        <w:tc>
          <w:tcPr>
            <w:tcW w:type="dxa" w:w="6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bCs/>
                <w:color w:val="404040"/>
                <w:sz w:val="16"/>
                <w:szCs w:val="16"/>
              </w:rPr>
              <w:t xml:space="preserve">M</w:t>
            </w:r>
          </w:p>
        </w:tc>
        <w:tc>
          <w:tcPr>
            <w:tcW w:type="dxa" w:w="516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GB200 Blackwell systems require substantial HBM3e memory. SK Hynix/Samsung/Micron face production constraints. NVDA's revenue and gross margins are partially hostage to HBM supply (higher cost = margin dilution; supply shortfall = revenue at risk). Mitigant: NVDA has secured multi-year HBM supply agreements.</w:t>
            </w:r>
          </w:p>
        </w:tc>
      </w:tr>
      <w:tr>
        <w:tc>
          <w:tcPr>
            <w:tcW w:type="dxa" w:w="18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Software Revenue Monetization Execution</w:t>
            </w:r>
          </w:p>
        </w:tc>
        <w:tc>
          <w:tcPr>
            <w:tcW w:type="dxa" w:w="12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Execution</w:t>
            </w:r>
          </w:p>
        </w:tc>
        <w:tc>
          <w:tcPr>
            <w:tcW w:type="dxa" w:w="6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bCs/>
                <w:color w:val="404040"/>
                <w:sz w:val="16"/>
                <w:szCs w:val="16"/>
              </w:rPr>
              <w:t xml:space="preserve">M</w:t>
            </w:r>
          </w:p>
        </w:tc>
        <w:tc>
          <w:tcPr>
            <w:tcW w:type="dxa" w:w="6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bCs/>
                <w:color w:val="404040"/>
                <w:sz w:val="16"/>
                <w:szCs w:val="16"/>
              </w:rPr>
              <w:t xml:space="preserve">M</w:t>
            </w:r>
          </w:p>
        </w:tc>
        <w:tc>
          <w:tcPr>
            <w:tcW w:type="dxa" w:w="51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NVDA has announced ambitious software revenue plans (AI Enterprise, NIM microservices). Execution risk: enterprises are accustomed to CUDA being free. Transitioning to paid software subscription at scale requires sales motion transformation. Mitigant: Jensen has identified software as the margin expansion vehicle; early metrics are positive but not yet material at scale.</w:t>
            </w:r>
          </w:p>
        </w:tc>
      </w:tr>
      <w:tr>
        <w:tc>
          <w:tcPr>
            <w:tcW w:type="dxa" w:w="18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Valuation &amp; Multiple Compression</w:t>
            </w:r>
          </w:p>
        </w:tc>
        <w:tc>
          <w:tcPr>
            <w:tcW w:type="dxa" w:w="12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Market</w:t>
            </w:r>
          </w:p>
        </w:tc>
        <w:tc>
          <w:tcPr>
            <w:tcW w:type="dxa" w:w="600"/>
            <w:gridSpan w:val="1"/>
            <w:tcBorders>
              <w:top w:val="single" w:color="D9D9D9" w:sz="6"/>
              <w:left w:val="single" w:color="D9D9D9" w:sz="6"/>
              <w:bottom w:val="single" w:color="D9D9D9" w:sz="6"/>
              <w:right w:val="single" w:color="D9D9D9" w:sz="6"/>
            </w:tcBorders>
            <w:shd w:fill="FFCCCC" w:val="clear"/>
            <w:tcMar>
              <w:top w:type="dxa" w:w="80"/>
              <w:left w:type="dxa" w:w="120"/>
              <w:bottom w:type="dxa" w:w="80"/>
              <w:right w:type="dxa" w:w="120"/>
            </w:tcMar>
            <w:vAlign w:val="center"/>
          </w:tcPr>
          <w:p>
            <w:pPr>
              <w:jc w:val="center"/>
            </w:pPr>
            <w:r>
              <w:rPr>
                <w:rFonts w:ascii="Arial" w:cs="Arial" w:eastAsia="Arial" w:hAnsi="Arial"/>
                <w:b/>
                <w:bCs/>
                <w:color w:val="9C0006"/>
                <w:sz w:val="16"/>
                <w:szCs w:val="16"/>
              </w:rPr>
              <w:t xml:space="preserve">H</w:t>
            </w:r>
          </w:p>
        </w:tc>
        <w:tc>
          <w:tcPr>
            <w:tcW w:type="dxa" w:w="6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bCs/>
                <w:color w:val="404040"/>
                <w:sz w:val="16"/>
                <w:szCs w:val="16"/>
              </w:rPr>
              <w:t xml:space="preserve">M</w:t>
            </w:r>
          </w:p>
        </w:tc>
        <w:tc>
          <w:tcPr>
            <w:tcW w:type="dxa" w:w="516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At 38x NTM P/E, NVDA carries a growth stock premium. If EPS growth decelerates faster than expected (e.g., AI capex slowdown) or if risk-free rates rise materially, the multiple could compress to 28–30x, implying $120–130 stock with flat EPS. Mitigant: Strong cash generation supports buybacks; improving software/recurring revenue improves earnings quality.</w:t>
            </w:r>
          </w:p>
        </w:tc>
      </w:tr>
    </w:tbl>
    <w:p>
      <w:pPr>
        <w:spacing w:before="120" w:after="0"/>
      </w:pPr>
    </w:p>
    <w:p>
      <w:pPr>
        <w:pStyle w:val="Heading2"/>
        <w:spacing w:before="180" w:after="80"/>
      </w:pPr>
      <w:r>
        <w:rPr>
          <w:rFonts w:ascii="Arial" w:cs="Arial" w:eastAsia="Arial" w:hAnsi="Arial"/>
          <w:b/>
          <w:bCs/>
          <w:color w:val="2E4A6B"/>
          <w:sz w:val="22"/>
          <w:szCs w:val="22"/>
        </w:rPr>
        <w:t xml:space="preserve">What Would Make Us Wrong?</w:t>
      </w:r>
    </w:p>
    <w:p>
      <w:pPr>
        <w:pStyle w:val="ListParagraph"/>
        <w:numPr>
          <w:ilvl w:val="0"/>
          <w:numId w:val="2"/>
        </w:numPr>
        <w:spacing w:before="40" w:after="40"/>
      </w:pPr>
      <w:r>
        <w:rPr>
          <w:rFonts w:ascii="Arial" w:cs="Arial" w:eastAsia="Arial" w:hAnsi="Arial"/>
          <w:color w:val="000000"/>
          <w:sz w:val="18"/>
          <w:szCs w:val="18"/>
        </w:rPr>
        <w:t xml:space="preserve">AI Capex Winter + Rapid AMD Share Gains — If hyperscaler AI capex spending enters a sustained multi-quarter digestion cycle (&gt;2 quarters of negative revenue growth for NVDA Data Center) coinciding with AMD MI400-series GPUs achieving software ecosystem parity through a major ROCm breakthrough, our thesis breaks. This scenario would require FY2026E revenue below $150B vs. our $185B base case, implying ~40% EPS downside and justifying a $120–130 bear case price.</w:t>
      </w:r>
    </w:p>
    <w:p>
      <w:pPr>
        <w:pStyle w:val="ListParagraph"/>
        <w:numPr>
          <w:ilvl w:val="0"/>
          <w:numId w:val="2"/>
        </w:numPr>
        <w:spacing w:before="40" w:after="40"/>
      </w:pPr>
      <w:r>
        <w:rPr>
          <w:rFonts w:ascii="Arial" w:cs="Arial" w:eastAsia="Arial" w:hAnsi="Arial"/>
          <w:color w:val="000000"/>
          <w:sz w:val="18"/>
          <w:szCs w:val="18"/>
        </w:rPr>
        <w:t xml:space="preserve">Structural Export Control Expansion to All Key Non-US Markets — If the Trump administration expands AI Diffusion IFR rules to restrict GPU sales to allied countries like UAE, Saudi Arabia, India, and Southeast Asia (where sovereign AI programs are a growth driver), NVDA would face a $20–30B revenue reduction with no near-term alternative. This scenario is unlikely given US strategic interest in maintaining AI technology leadership but would be severely negative.</w:t>
      </w:r>
    </w:p>
    <w:p>
      <w:pPr>
        <w:pStyle w:val="ListParagraph"/>
        <w:numPr>
          <w:ilvl w:val="0"/>
          <w:numId w:val="2"/>
        </w:numPr>
        <w:spacing w:before="40" w:after="40"/>
      </w:pPr>
      <w:r>
        <w:rPr>
          <w:rFonts w:ascii="Arial" w:cs="Arial" w:eastAsia="Arial" w:hAnsi="Arial"/>
          <w:color w:val="000000"/>
          <w:sz w:val="18"/>
          <w:szCs w:val="18"/>
        </w:rPr>
        <w:t xml:space="preserve">TSMC Production Disruption (Taiwan Conflict or Catastrophic Natural Disaster) — A 6–12 month TSMC production interruption due to geopolitical escalation or natural disaster would halt NVDA's GPU production. No current fab alternative can manufacture advanced CoWoS-packaged AI GPUs at scale. While this is a tail risk (probability &lt;5%), the consequence would be existential for the AI infrastructure supply chain broadly and could reduce NVDA's market cap by 40–60%. This is un-hedgeable from an investment standpoint.</w:t>
      </w:r>
    </w:p>
    <w:p>
      <w:pPr>
        <w:spacing w:before="120" w:after="0"/>
      </w:pPr>
    </w:p>
    <w:p>
      <w:pPr>
        <w:pStyle w:val="Heading2"/>
        <w:spacing w:before="180" w:after="80"/>
      </w:pPr>
      <w:r>
        <w:rPr>
          <w:rFonts w:ascii="Arial" w:cs="Arial" w:eastAsia="Arial" w:hAnsi="Arial"/>
          <w:b/>
          <w:bCs/>
          <w:color w:val="2E4A6B"/>
          <w:sz w:val="22"/>
          <w:szCs w:val="22"/>
        </w:rPr>
        <w:t xml:space="preserve">Key Metrics to Monitor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2160"/>
        <w:gridCol w:w="2100"/>
        <w:gridCol w:w="2100"/>
      </w:tblGrid>
      <w:tr>
        <w:tc>
          <w:tcPr>
            <w:tcW w:type="dxa" w:w="21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Metric</w:t>
            </w:r>
          </w:p>
        </w:tc>
        <w:tc>
          <w:tcPr>
            <w:tcW w:type="dxa" w:w="9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6"/>
                <w:szCs w:val="16"/>
              </w:rPr>
              <w:t xml:space="preserve">Freq.</w:t>
            </w:r>
          </w:p>
        </w:tc>
        <w:tc>
          <w:tcPr>
            <w:tcW w:type="dxa" w:w="216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Base Case Expectation</w:t>
            </w:r>
          </w:p>
        </w:tc>
        <w:tc>
          <w:tcPr>
            <w:tcW w:type="dxa" w:w="21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Bullish Signal</w:t>
            </w:r>
          </w:p>
        </w:tc>
        <w:tc>
          <w:tcPr>
            <w:tcW w:type="dxa" w:w="21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Bearish Signal / Thesis Reassessment</w:t>
            </w:r>
          </w:p>
        </w:tc>
      </w:tr>
      <w:tr>
        <w:tc>
          <w:tcPr>
            <w:tcW w:type="dxa" w:w="21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Data Center Revenue (QoQ Growth)</w:t>
            </w:r>
          </w:p>
        </w:tc>
        <w:tc>
          <w:tcPr>
            <w:tcW w:type="dxa" w:w="9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5"/>
                <w:szCs w:val="15"/>
              </w:rPr>
              <w:t xml:space="preserve">Quarterly</w:t>
            </w:r>
          </w:p>
        </w:tc>
        <w:tc>
          <w:tcPr>
            <w:tcW w:type="dxa" w:w="21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~$38–42B Q1 FY2026; sequential growth +5–10%</w:t>
            </w:r>
          </w:p>
        </w:tc>
        <w:tc>
          <w:tcPr>
            <w:tcW w:type="dxa" w:w="210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375623"/>
                <w:sz w:val="15"/>
                <w:szCs w:val="15"/>
              </w:rPr>
              <w:t xml:space="preserve">Sequential growth &gt;10% = Blackwell demand exceeding expectations</w:t>
            </w:r>
          </w:p>
        </w:tc>
        <w:tc>
          <w:tcPr>
            <w:tcW w:type="dxa" w:w="2100"/>
            <w:gridSpan w:val="1"/>
            <w:tcBorders>
              <w:top w:val="single" w:color="D9D9D9" w:sz="6"/>
              <w:left w:val="single" w:color="D9D9D9" w:sz="6"/>
              <w:bottom w:val="single" w:color="D9D9D9" w:sz="6"/>
              <w:right w:val="single" w:color="D9D9D9" w:sz="6"/>
            </w:tcBorders>
            <w:shd w:fill="FFCCCC" w:val="clear"/>
            <w:tcMar>
              <w:top w:type="dxa" w:w="80"/>
              <w:left w:type="dxa" w:w="120"/>
              <w:bottom w:type="dxa" w:w="80"/>
              <w:right w:type="dxa" w:w="120"/>
            </w:tcMar>
            <w:vAlign w:val="center"/>
          </w:tcPr>
          <w:p>
            <w:pPr>
              <w:jc w:val="left"/>
            </w:pPr>
            <w:r>
              <w:rPr>
                <w:rFonts w:ascii="Arial" w:cs="Arial" w:eastAsia="Arial" w:hAnsi="Arial"/>
                <w:b w:val="false"/>
                <w:bCs w:val="false"/>
                <w:color w:val="9C0006"/>
                <w:sz w:val="15"/>
                <w:szCs w:val="15"/>
              </w:rPr>
              <w:t xml:space="preserve">Sequential decline or flat = capex digestion; reassess if 2+ quarters</w:t>
            </w:r>
          </w:p>
        </w:tc>
      </w:tr>
      <w:tr>
        <w:tc>
          <w:tcPr>
            <w:tcW w:type="dxa" w:w="21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Gross Margin (%)</w:t>
            </w:r>
          </w:p>
        </w:tc>
        <w:tc>
          <w:tcPr>
            <w:tcW w:type="dxa" w:w="9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5"/>
                <w:szCs w:val="15"/>
              </w:rPr>
              <w:t xml:space="preserve">Quarterly</w:t>
            </w:r>
          </w:p>
        </w:tc>
        <w:tc>
          <w:tcPr>
            <w:tcW w:type="dxa" w:w="216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Target 73–75% as Blackwell ramps (initially mix-dilutive)</w:t>
            </w:r>
          </w:p>
        </w:tc>
        <w:tc>
          <w:tcPr>
            <w:tcW w:type="dxa" w:w="21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75623"/>
                <w:sz w:val="15"/>
                <w:szCs w:val="15"/>
              </w:rPr>
              <w:t xml:space="preserve">GM expansion to 76%+ = Blackwell pricing power / mix shift</w:t>
            </w:r>
          </w:p>
        </w:tc>
        <w:tc>
          <w:tcPr>
            <w:tcW w:type="dxa" w:w="21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C0006"/>
                <w:sz w:val="15"/>
                <w:szCs w:val="15"/>
              </w:rPr>
              <w:t xml:space="preserve">GM compression below 72% for 2+ quarters = competitive pricing or supply cost pressure</w:t>
            </w:r>
          </w:p>
        </w:tc>
      </w:tr>
      <w:tr>
        <w:tc>
          <w:tcPr>
            <w:tcW w:type="dxa" w:w="21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Hyperscaler Capex Guidance (MSFT, AMZN, GOOG, META)</w:t>
            </w:r>
          </w:p>
        </w:tc>
        <w:tc>
          <w:tcPr>
            <w:tcW w:type="dxa" w:w="9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5"/>
                <w:szCs w:val="15"/>
              </w:rPr>
              <w:t xml:space="preserve">Quarterly</w:t>
            </w:r>
          </w:p>
        </w:tc>
        <w:tc>
          <w:tcPr>
            <w:tcW w:type="dxa" w:w="21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$300–350B combined FY2026 capex across 4 hyperscalers</w:t>
            </w:r>
          </w:p>
        </w:tc>
        <w:tc>
          <w:tcPr>
            <w:tcW w:type="dxa" w:w="210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375623"/>
                <w:sz w:val="15"/>
                <w:szCs w:val="15"/>
              </w:rPr>
              <w:t xml:space="preserve">Capex guidance increases or management commentary references GPU supply tightness</w:t>
            </w:r>
          </w:p>
        </w:tc>
        <w:tc>
          <w:tcPr>
            <w:tcW w:type="dxa" w:w="2100"/>
            <w:gridSpan w:val="1"/>
            <w:tcBorders>
              <w:top w:val="single" w:color="D9D9D9" w:sz="6"/>
              <w:left w:val="single" w:color="D9D9D9" w:sz="6"/>
              <w:bottom w:val="single" w:color="D9D9D9" w:sz="6"/>
              <w:right w:val="single" w:color="D9D9D9" w:sz="6"/>
            </w:tcBorders>
            <w:shd w:fill="FFCCCC" w:val="clear"/>
            <w:tcMar>
              <w:top w:type="dxa" w:w="80"/>
              <w:left w:type="dxa" w:w="120"/>
              <w:bottom w:type="dxa" w:w="80"/>
              <w:right w:type="dxa" w:w="120"/>
            </w:tcMar>
            <w:vAlign w:val="center"/>
          </w:tcPr>
          <w:p>
            <w:pPr>
              <w:jc w:val="left"/>
            </w:pPr>
            <w:r>
              <w:rPr>
                <w:rFonts w:ascii="Arial" w:cs="Arial" w:eastAsia="Arial" w:hAnsi="Arial"/>
                <w:b w:val="false"/>
                <w:bCs w:val="false"/>
                <w:color w:val="9C0006"/>
                <w:sz w:val="15"/>
                <w:szCs w:val="15"/>
              </w:rPr>
              <w:t xml:space="preserve">Capex reduction or AI infrastructure spend pause → reduce FY estimates</w:t>
            </w:r>
          </w:p>
        </w:tc>
      </w:tr>
      <w:tr>
        <w:tc>
          <w:tcPr>
            <w:tcW w:type="dxa" w:w="21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AMD GPU Market Share (MI300X/400X)</w:t>
            </w:r>
          </w:p>
        </w:tc>
        <w:tc>
          <w:tcPr>
            <w:tcW w:type="dxa" w:w="9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5"/>
                <w:szCs w:val="15"/>
              </w:rPr>
              <w:t xml:space="preserve">Quarterly</w:t>
            </w:r>
          </w:p>
        </w:tc>
        <w:tc>
          <w:tcPr>
            <w:tcW w:type="dxa" w:w="216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AMD to hold ~10–15% of AI GPU revenue market share</w:t>
            </w:r>
          </w:p>
        </w:tc>
        <w:tc>
          <w:tcPr>
            <w:tcW w:type="dxa" w:w="21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75623"/>
                <w:sz w:val="15"/>
                <w:szCs w:val="15"/>
              </w:rPr>
              <w:t xml:space="preserve">AMD share flat or declining = CUDA moat holding</w:t>
            </w:r>
          </w:p>
        </w:tc>
        <w:tc>
          <w:tcPr>
            <w:tcW w:type="dxa" w:w="21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C0006"/>
                <w:sz w:val="15"/>
                <w:szCs w:val="15"/>
              </w:rPr>
              <w:t xml:space="preserve">AMD share &gt;25% on comparable large-scale workloads = competitive risk, reevaluate moat</w:t>
            </w:r>
          </w:p>
        </w:tc>
      </w:tr>
      <w:tr>
        <w:tc>
          <w:tcPr>
            <w:tcW w:type="dxa" w:w="21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NVDA AI Enterprise &amp; Software Revenue</w:t>
            </w:r>
          </w:p>
        </w:tc>
        <w:tc>
          <w:tcPr>
            <w:tcW w:type="dxa" w:w="9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5"/>
                <w:szCs w:val="15"/>
              </w:rPr>
              <w:t xml:space="preserve">Quarterly</w:t>
            </w:r>
          </w:p>
        </w:tc>
        <w:tc>
          <w:tcPr>
            <w:tcW w:type="dxa" w:w="216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Software/services growing 50%+ annually; target $5–8B by FY2027</w:t>
            </w:r>
          </w:p>
        </w:tc>
        <w:tc>
          <w:tcPr>
            <w:tcW w:type="dxa" w:w="2100"/>
            <w:gridSpan w:val="1"/>
            <w:tcBorders>
              <w:top w:val="single" w:color="D9D9D9" w:sz="6"/>
              <w:left w:val="single" w:color="D9D9D9" w:sz="6"/>
              <w:bottom w:val="single" w:color="D9D9D9" w:sz="6"/>
              <w:right w:val="single" w:color="D9D9D9" w:sz="6"/>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375623"/>
                <w:sz w:val="15"/>
                <w:szCs w:val="15"/>
              </w:rPr>
              <w:t xml:space="preserve">Software revenue break-out to $2B+ quarterly = valuation re-rating catalyst</w:t>
            </w:r>
          </w:p>
        </w:tc>
        <w:tc>
          <w:tcPr>
            <w:tcW w:type="dxa" w:w="2100"/>
            <w:gridSpan w:val="1"/>
            <w:tcBorders>
              <w:top w:val="single" w:color="D9D9D9" w:sz="6"/>
              <w:left w:val="single" w:color="D9D9D9" w:sz="6"/>
              <w:bottom w:val="single" w:color="D9D9D9" w:sz="6"/>
              <w:right w:val="single" w:color="D9D9D9" w:sz="6"/>
            </w:tcBorders>
            <w:shd w:fill="FFCCCC" w:val="clear"/>
            <w:tcMar>
              <w:top w:type="dxa" w:w="80"/>
              <w:left w:type="dxa" w:w="120"/>
              <w:bottom w:type="dxa" w:w="80"/>
              <w:right w:type="dxa" w:w="120"/>
            </w:tcMar>
            <w:vAlign w:val="center"/>
          </w:tcPr>
          <w:p>
            <w:pPr>
              <w:jc w:val="left"/>
            </w:pPr>
            <w:r>
              <w:rPr>
                <w:rFonts w:ascii="Arial" w:cs="Arial" w:eastAsia="Arial" w:hAnsi="Arial"/>
                <w:b w:val="false"/>
                <w:bCs w:val="false"/>
                <w:color w:val="9C0006"/>
                <w:sz w:val="15"/>
                <w:szCs w:val="15"/>
              </w:rPr>
              <w:t xml:space="preserve">Flat or declining software metrics = execution failure on monetization strategy</w:t>
            </w:r>
          </w:p>
        </w:tc>
      </w:tr>
      <w:tr>
        <w:tc>
          <w:tcPr>
            <w:tcW w:type="dxa" w:w="21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Export Control Policy Developments</w:t>
            </w:r>
          </w:p>
        </w:tc>
        <w:tc>
          <w:tcPr>
            <w:tcW w:type="dxa" w:w="9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5"/>
                <w:szCs w:val="15"/>
              </w:rPr>
              <w:t xml:space="preserve">As announced</w:t>
            </w:r>
          </w:p>
        </w:tc>
        <w:tc>
          <w:tcPr>
            <w:tcW w:type="dxa" w:w="216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Status quo (AI Diffusion IFR) remains in force through FY2026</w:t>
            </w:r>
          </w:p>
        </w:tc>
        <w:tc>
          <w:tcPr>
            <w:tcW w:type="dxa" w:w="21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75623"/>
                <w:sz w:val="15"/>
                <w:szCs w:val="15"/>
              </w:rPr>
              <w:t xml:space="preserve">Relaxation of Middle East or other restrictions = positive revenue upside</w:t>
            </w:r>
          </w:p>
        </w:tc>
        <w:tc>
          <w:tcPr>
            <w:tcW w:type="dxa" w:w="21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9C0006"/>
                <w:sz w:val="15"/>
                <w:szCs w:val="15"/>
              </w:rPr>
              <w:t xml:space="preserve">Expansion to restrict Gulf states/India/Japan = $20–30B revenue risk</w:t>
            </w:r>
          </w:p>
        </w:tc>
      </w:tr>
    </w:tbl>
    <w:p/>
    <w:p>
      <w:pPr>
        <w:pStyle w:val="Heading1"/>
        <w:pBdr>
          <w:bottom w:val="single" w:color="1F3864" w:sz="12"/>
        </w:pBdr>
        <w:spacing w:before="240" w:after="120"/>
      </w:pPr>
      <w:r>
        <w:rPr>
          <w:rFonts w:ascii="Arial" w:cs="Arial" w:eastAsia="Arial" w:hAnsi="Arial"/>
          <w:b/>
          <w:bCs/>
          <w:color w:val="1F3864"/>
          <w:sz w:val="26"/>
          <w:szCs w:val="26"/>
        </w:rPr>
        <w:t xml:space="preserve">5.  ESG &amp; OTHER CONSIDERATIONS</w:t>
      </w:r>
    </w:p>
    <w:p>
      <w:pPr>
        <w:pStyle w:val="Heading2"/>
        <w:spacing w:before="180" w:after="80"/>
      </w:pPr>
      <w:r>
        <w:rPr>
          <w:rFonts w:ascii="Arial" w:cs="Arial" w:eastAsia="Arial" w:hAnsi="Arial"/>
          <w:b/>
          <w:bCs/>
          <w:color w:val="2E4A6B"/>
          <w:sz w:val="22"/>
          <w:szCs w:val="22"/>
        </w:rPr>
        <w:t xml:space="preserve">ESG Ratings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40"/>
        <w:gridCol w:w="1440"/>
        <w:gridCol w:w="4080"/>
      </w:tblGrid>
      <w:tr>
        <w:tc>
          <w:tcPr>
            <w:tcW w:type="dxa" w:w="240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ESG Metric</w:t>
            </w:r>
          </w:p>
        </w:tc>
        <w:tc>
          <w:tcPr>
            <w:tcW w:type="dxa" w:w="144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6"/>
                <w:szCs w:val="16"/>
              </w:rPr>
              <w:t xml:space="preserve">Rating / Score</w:t>
            </w:r>
          </w:p>
        </w:tc>
        <w:tc>
          <w:tcPr>
            <w:tcW w:type="dxa" w:w="144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6"/>
                <w:szCs w:val="16"/>
              </w:rPr>
              <w:t xml:space="preserve">Source</w:t>
            </w:r>
          </w:p>
        </w:tc>
        <w:tc>
          <w:tcPr>
            <w:tcW w:type="dxa" w:w="4080"/>
            <w:gridSpan w:val="1"/>
            <w:tcBorders>
              <w:top w:val="single" w:color="1F3864" w:sz="6"/>
              <w:left w:val="single" w:color="1F3864" w:sz="6"/>
              <w:bottom w:val="single" w:color="1F3864" w:sz="6"/>
              <w:right w:val="single" w:color="1F3864" w:sz="6"/>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6"/>
                <w:szCs w:val="16"/>
              </w:rPr>
              <w:t xml:space="preserve">Commentary</w:t>
            </w:r>
          </w:p>
        </w:tc>
      </w:tr>
      <w:tr>
        <w:tc>
          <w:tcPr>
            <w:tcW w:type="dxa" w:w="24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Overall ESG Rating</w:t>
            </w:r>
          </w:p>
        </w:tc>
        <w:tc>
          <w:tcPr>
            <w:tcW w:type="dxa" w:w="144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5"/>
                <w:szCs w:val="15"/>
              </w:rPr>
              <w:t xml:space="preserve">AA (Leader)</w:t>
            </w:r>
          </w:p>
        </w:tc>
        <w:tc>
          <w:tcPr>
            <w:tcW w:type="dxa" w:w="144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5"/>
                <w:szCs w:val="15"/>
              </w:rPr>
              <w:t xml:space="preserve">MSCI ESG</w:t>
            </w:r>
          </w:p>
        </w:tc>
        <w:tc>
          <w:tcPr>
            <w:tcW w:type="dxa" w:w="408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NVDA upgraded to AA in 2024; one of highest-rated large-cap semiconductor companies.</w:t>
            </w:r>
          </w:p>
        </w:tc>
      </w:tr>
      <w:tr>
        <w:tc>
          <w:tcPr>
            <w:tcW w:type="dxa" w:w="24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Environmental Score</w:t>
            </w:r>
          </w:p>
        </w:tc>
        <w:tc>
          <w:tcPr>
            <w:tcW w:type="dxa" w:w="144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5"/>
                <w:szCs w:val="15"/>
              </w:rPr>
              <w:t xml:space="preserve">Average–Above Average</w:t>
            </w:r>
          </w:p>
        </w:tc>
        <w:tc>
          <w:tcPr>
            <w:tcW w:type="dxa" w:w="144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5"/>
                <w:szCs w:val="15"/>
              </w:rPr>
              <w:t xml:space="preserve">Sustainalytics</w:t>
            </w:r>
          </w:p>
        </w:tc>
        <w:tc>
          <w:tcPr>
            <w:tcW w:type="dxa" w:w="408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Fabless model reduces direct emissions. Energy intensity concern from AI compute demand.</w:t>
            </w:r>
          </w:p>
        </w:tc>
      </w:tr>
      <w:tr>
        <w:tc>
          <w:tcPr>
            <w:tcW w:type="dxa" w:w="24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Social Score</w:t>
            </w:r>
          </w:p>
        </w:tc>
        <w:tc>
          <w:tcPr>
            <w:tcW w:type="dxa" w:w="144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5"/>
                <w:szCs w:val="15"/>
              </w:rPr>
              <w:t xml:space="preserve">Above Average</w:t>
            </w:r>
          </w:p>
        </w:tc>
        <w:tc>
          <w:tcPr>
            <w:tcW w:type="dxa" w:w="144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5"/>
                <w:szCs w:val="15"/>
              </w:rPr>
              <w:t xml:space="preserve">ISS</w:t>
            </w:r>
          </w:p>
        </w:tc>
        <w:tc>
          <w:tcPr>
            <w:tcW w:type="dxa" w:w="408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Top-quartile employee satisfaction; strong DEI programs; responsible supply chain.</w:t>
            </w:r>
          </w:p>
        </w:tc>
      </w:tr>
      <w:tr>
        <w:tc>
          <w:tcPr>
            <w:tcW w:type="dxa" w:w="24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Governance Score</w:t>
            </w:r>
          </w:p>
        </w:tc>
        <w:tc>
          <w:tcPr>
            <w:tcW w:type="dxa" w:w="144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5"/>
                <w:szCs w:val="15"/>
              </w:rPr>
              <w:t xml:space="preserve">Above Average</w:t>
            </w:r>
          </w:p>
        </w:tc>
        <w:tc>
          <w:tcPr>
            <w:tcW w:type="dxa" w:w="144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5"/>
                <w:szCs w:val="15"/>
              </w:rPr>
              <w:t xml:space="preserve">MSCI / ISS</w:t>
            </w:r>
          </w:p>
        </w:tc>
        <w:tc>
          <w:tcPr>
            <w:tcW w:type="dxa" w:w="408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Independent board majority; strong CEO/board separation; shareholder-friendly buybacks.</w:t>
            </w:r>
          </w:p>
        </w:tc>
      </w:tr>
      <w:tr>
        <w:tc>
          <w:tcPr>
            <w:tcW w:type="dxa" w:w="24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Carbon Intensity (Scope 1+2)</w:t>
            </w:r>
          </w:p>
        </w:tc>
        <w:tc>
          <w:tcPr>
            <w:tcW w:type="dxa" w:w="144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5"/>
                <w:szCs w:val="15"/>
              </w:rPr>
              <w:t xml:space="preserve">~0.5 MT CO2/$M rev</w:t>
            </w:r>
          </w:p>
        </w:tc>
        <w:tc>
          <w:tcPr>
            <w:tcW w:type="dxa" w:w="144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5"/>
                <w:szCs w:val="15"/>
              </w:rPr>
              <w:t xml:space="preserve">NVDA ESG Report</w:t>
            </w:r>
          </w:p>
        </w:tc>
        <w:tc>
          <w:tcPr>
            <w:tcW w:type="dxa" w:w="408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Minimal direct emissions (fabless). Scope 3 is significant via energy-intensive customer use.</w:t>
            </w:r>
          </w:p>
        </w:tc>
      </w:tr>
      <w:tr>
        <w:tc>
          <w:tcPr>
            <w:tcW w:type="dxa" w:w="240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Board Independence</w:t>
            </w:r>
          </w:p>
        </w:tc>
        <w:tc>
          <w:tcPr>
            <w:tcW w:type="dxa" w:w="144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5"/>
                <w:szCs w:val="15"/>
              </w:rPr>
              <w:t xml:space="preserve">~75%</w:t>
            </w:r>
          </w:p>
        </w:tc>
        <w:tc>
          <w:tcPr>
            <w:tcW w:type="dxa" w:w="144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5"/>
                <w:szCs w:val="15"/>
              </w:rPr>
              <w:t xml:space="preserve">Proxy Statement</w:t>
            </w:r>
          </w:p>
        </w:tc>
        <w:tc>
          <w:tcPr>
            <w:tcW w:type="dxa" w:w="4080"/>
            <w:gridSpan w:val="1"/>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9 of 12 board members independent; audit/comp committees fully independent.</w:t>
            </w:r>
          </w:p>
        </w:tc>
      </w:tr>
      <w:tr>
        <w:tc>
          <w:tcPr>
            <w:tcW w:type="dxa" w:w="240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5"/>
                <w:szCs w:val="15"/>
              </w:rPr>
              <w:t xml:space="preserve">Insider Ownership</w:t>
            </w:r>
          </w:p>
        </w:tc>
        <w:tc>
          <w:tcPr>
            <w:tcW w:type="dxa" w:w="144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5"/>
                <w:szCs w:val="15"/>
              </w:rPr>
              <w:t xml:space="preserve">~3.5% (Jensen)</w:t>
            </w:r>
          </w:p>
        </w:tc>
        <w:tc>
          <w:tcPr>
            <w:tcW w:type="dxa" w:w="144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04040"/>
                <w:sz w:val="15"/>
                <w:szCs w:val="15"/>
              </w:rPr>
              <w:t xml:space="preserve">Proxy Statement</w:t>
            </w:r>
          </w:p>
        </w:tc>
        <w:tc>
          <w:tcPr>
            <w:tcW w:type="dxa" w:w="4080"/>
            <w:gridSpan w:val="1"/>
            <w:tcBorders>
              <w:top w:val="single" w:color="D9D9D9" w:sz="6"/>
              <w:left w:val="single" w:color="D9D9D9" w:sz="6"/>
              <w:bottom w:val="single" w:color="D9D9D9" w:sz="6"/>
              <w:right w:val="single" w:color="D9D9D9" w:sz="6"/>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04040"/>
                <w:sz w:val="15"/>
                <w:szCs w:val="15"/>
              </w:rPr>
              <w:t xml:space="preserve">CEO owns ~3.5% → meaningful alignment. No dual-class share structure.</w:t>
            </w:r>
          </w:p>
        </w:tc>
      </w:tr>
    </w:tbl>
    <w:p>
      <w:pPr>
        <w:spacing w:before="120" w:after="0"/>
      </w:pPr>
    </w:p>
    <w:p>
      <w:pPr>
        <w:pStyle w:val="Heading2"/>
        <w:spacing w:before="180" w:after="80"/>
      </w:pPr>
      <w:r>
        <w:rPr>
          <w:rFonts w:ascii="Arial" w:cs="Arial" w:eastAsia="Arial" w:hAnsi="Arial"/>
          <w:b/>
          <w:bCs/>
          <w:color w:val="2E4A6B"/>
          <w:sz w:val="22"/>
          <w:szCs w:val="22"/>
        </w:rPr>
        <w:t xml:space="preserve">Environmental</w:t>
      </w:r>
    </w:p>
    <w:p>
      <w:pPr>
        <w:spacing w:before="60" w:after="80"/>
        <w:ind/>
        <w:jc w:val="left"/>
      </w:pPr>
      <w:r>
        <w:rPr>
          <w:rFonts w:ascii="Arial" w:cs="Arial" w:eastAsia="Arial" w:hAnsi="Arial"/>
          <w:b w:val="false"/>
          <w:bCs w:val="false"/>
          <w:color w:val="000000"/>
          <w:sz w:val="18"/>
          <w:szCs w:val="18"/>
        </w:rPr>
        <w:t xml:space="preserve">As a fabless semiconductor company, NVIDIA's Scope 1 and Scope 2 carbon footprint is relatively limited — the company does not operate fabs, foundries, or heavy manufacturing facilities. The environmental challenge for NVDA is primarily Scope 3: the energy consumed by NVDA GPUs operating in hyperscale data centers globally. An H100 GPU consumes approximately 700W; a GB200 NVL72 rack draws ~120kW. The proliferation of AI data centers, largely powered by NVDA hardware, is a significant driver of global data center electricity consumption. NVDA has committed to powering its own operations with 100% renewable energy and has signed renewable energy PPAs. The company frames its environmental impact positively: NVDA GPUs accelerate scientific computing for climate modeling, drug discovery, and energy optimization. We view NVDA's environmental profile as ESG-neutral to slightly negative on climate grounds (Scope 3 intensive) but not a material financial risk for equity investors in the near term.</w:t>
      </w:r>
    </w:p>
    <w:p>
      <w:pPr>
        <w:pStyle w:val="Heading2"/>
        <w:spacing w:before="180" w:after="80"/>
      </w:pPr>
      <w:r>
        <w:rPr>
          <w:rFonts w:ascii="Arial" w:cs="Arial" w:eastAsia="Arial" w:hAnsi="Arial"/>
          <w:b/>
          <w:bCs/>
          <w:color w:val="2E4A6B"/>
          <w:sz w:val="22"/>
          <w:szCs w:val="22"/>
        </w:rPr>
        <w:t xml:space="preserve">Social</w:t>
      </w:r>
    </w:p>
    <w:p>
      <w:pPr>
        <w:spacing w:before="60" w:after="80"/>
        <w:ind/>
        <w:jc w:val="left"/>
      </w:pPr>
      <w:r>
        <w:rPr>
          <w:rFonts w:ascii="Arial" w:cs="Arial" w:eastAsia="Arial" w:hAnsi="Arial"/>
          <w:b w:val="false"/>
          <w:bCs w:val="false"/>
          <w:color w:val="000000"/>
          <w:sz w:val="18"/>
          <w:szCs w:val="18"/>
        </w:rPr>
        <w:t xml:space="preserve">NVIDIA consistently ranks among the top employers in the technology sector, with Glassdoor ratings above 4.5 and CEO approval ratings for Jensen Huang above 95%. The company has maintained strong employee retention during the AI boom, critical given the intense talent competition in GPU architecture and AI systems engineering. NVDA's DEI metrics are competitive for the semiconductor industry, with women representing approximately 19% of the global workforce and increasing representation at the VP+ level. Supply chain social responsibility is managed through TSMC's rigorous supplier standards, though NVDA's fabless model creates some limited visibility into full supply chain labor conditions. Data privacy is not a material risk for NVDA's B2B business model — unlike hyperscalers, NVDA does not hold personal user data. One social risk is the geopolitical dimension of its approximately 4,700 employees in Israel who support networking products; NVDA disclosed this risk explicitly in FY2025 10-K.</w:t>
      </w:r>
    </w:p>
    <w:p>
      <w:pPr>
        <w:pStyle w:val="Heading2"/>
        <w:spacing w:before="180" w:after="80"/>
      </w:pPr>
      <w:r>
        <w:rPr>
          <w:rFonts w:ascii="Arial" w:cs="Arial" w:eastAsia="Arial" w:hAnsi="Arial"/>
          <w:b/>
          <w:bCs/>
          <w:color w:val="2E4A6B"/>
          <w:sz w:val="22"/>
          <w:szCs w:val="22"/>
        </w:rPr>
        <w:t xml:space="preserve">Governance</w:t>
      </w:r>
    </w:p>
    <w:p>
      <w:pPr>
        <w:spacing w:before="60" w:after="80"/>
        <w:ind/>
        <w:jc w:val="left"/>
      </w:pPr>
      <w:r>
        <w:rPr>
          <w:rFonts w:ascii="Arial" w:cs="Arial" w:eastAsia="Arial" w:hAnsi="Arial"/>
          <w:b w:val="false"/>
          <w:bCs w:val="false"/>
          <w:color w:val="000000"/>
          <w:sz w:val="18"/>
          <w:szCs w:val="18"/>
        </w:rPr>
        <w:t xml:space="preserve">NVIDIA's governance structure is generally shareholder-friendly. The board consists of 12 directors with ~75% independence; Jensen Huang serves as both CEO and chairman, which some governance advocates view as a concentration of power, though his record of value creation is exceptional. The board includes several accomplished technologists and business leaders with relevant semiconductor, AI, and finance experience. Executive compensation is tightly aligned with shareholder returns through a combination of base salary, annual performance bonuses, and long-term PSUs tied to relative TSR vs. the S&amp;P 500. NVDA uses single-class common stock (no dual-class structure), preserving shareholder voting rights. The audit committee is fully independent and PricewaterhouseCoopers has served as auditor since 2004 with a clean audit opinion. Stock-based compensation ($4.7 billion in FY2025, 3.6% of revenue) is elevated but consistent with tech-sector norms and is offset by $34 billion in buybacks. No material related-party transactions or governance red flags.</w:t>
      </w:r>
    </w:p>
    <w:p>
      <w:pPr>
        <w:pStyle w:val="Heading2"/>
        <w:spacing w:before="180" w:after="80"/>
      </w:pPr>
      <w:r>
        <w:rPr>
          <w:rFonts w:ascii="Arial" w:cs="Arial" w:eastAsia="Arial" w:hAnsi="Arial"/>
          <w:b/>
          <w:bCs/>
          <w:color w:val="2E4A6B"/>
          <w:sz w:val="22"/>
          <w:szCs w:val="22"/>
        </w:rPr>
        <w:t xml:space="preserve">ESG Materiality to Thesis</w:t>
      </w:r>
    </w:p>
    <w:p>
      <w:pPr>
        <w:pStyle w:val="ListParagraph"/>
        <w:numPr>
          <w:ilvl w:val="0"/>
          <w:numId w:val="2"/>
        </w:numPr>
        <w:spacing w:before="40" w:after="40"/>
      </w:pPr>
      <w:r>
        <w:rPr>
          <w:rFonts w:ascii="Arial" w:cs="Arial" w:eastAsia="Arial" w:hAnsi="Arial"/>
          <w:color w:val="000000"/>
          <w:sz w:val="18"/>
          <w:szCs w:val="18"/>
        </w:rPr>
        <w:t xml:space="preserve">Energy Consumption &amp; Climate Policy (MATERIAL) — The growing political and regulatory focus on AI's energy footprint could result in data center capacity caps, carbon taxes, or permitting restrictions that slow hyperscaler GPU deployment. This is a medium-term risk that is currently not priced into NVDA's multiple. Any legislation linking AI compute deployment to clean energy mandates could slow demand temporarily.</w:t>
      </w:r>
    </w:p>
    <w:p>
      <w:pPr>
        <w:pStyle w:val="ListParagraph"/>
        <w:numPr>
          <w:ilvl w:val="0"/>
          <w:numId w:val="2"/>
        </w:numPr>
        <w:spacing w:before="40" w:after="40"/>
      </w:pPr>
      <w:r>
        <w:rPr>
          <w:rFonts w:ascii="Arial" w:cs="Arial" w:eastAsia="Arial" w:hAnsi="Arial"/>
          <w:color w:val="000000"/>
          <w:sz w:val="18"/>
          <w:szCs w:val="18"/>
        </w:rPr>
        <w:t xml:space="preserve">Export Controls as ESG/Regulatory Risk (HIGHLY MATERIAL) — US government technology export controls (discussed extensively in Section 4) are effectively a form of regulatory risk that intersects with geopolitical ESG concerns. NVDA's ability to serve customers in China, Middle East, and developing nations is constrained. This is the single most material ESG-adjacent risk for NVDA's investment thesis.</w:t>
      </w:r>
    </w:p>
    <w:p>
      <w:pPr>
        <w:pStyle w:val="ListParagraph"/>
        <w:numPr>
          <w:ilvl w:val="0"/>
          <w:numId w:val="2"/>
        </w:numPr>
        <w:spacing w:before="40" w:after="40"/>
      </w:pPr>
      <w:r>
        <w:rPr>
          <w:rFonts w:ascii="Arial" w:cs="Arial" w:eastAsia="Arial" w:hAnsi="Arial"/>
          <w:color w:val="000000"/>
          <w:sz w:val="18"/>
          <w:szCs w:val="18"/>
        </w:rPr>
        <w:t xml:space="preserve">Governance Quality as a Valuation Driver (POSITIVE) — Jensen Huang's extraordinary capital allocation track record — investing aggressively in R&amp;D while returning capital through buybacks — directly supports NVDA's premium valuation. Strong governance, clean audit, and shareholder-aligned compensation structure reduce the cost of capital and support the high P/E multiple we apply.</w:t>
      </w:r>
    </w:p>
    <w:p/>
    <w:p>
      <w:pPr>
        <w:pStyle w:val="Heading1"/>
        <w:pBdr>
          <w:bottom w:val="single" w:color="1F3864" w:sz="12"/>
        </w:pBdr>
        <w:spacing w:before="240" w:after="120"/>
      </w:pPr>
      <w:r>
        <w:rPr>
          <w:rFonts w:ascii="Arial" w:cs="Arial" w:eastAsia="Arial" w:hAnsi="Arial"/>
          <w:b/>
          <w:bCs/>
          <w:color w:val="1F3864"/>
          <w:sz w:val="26"/>
          <w:szCs w:val="26"/>
        </w:rPr>
        <w:t xml:space="preserve">DISCLAIMER</w:t>
      </w:r>
    </w:p>
    <w:p>
      <w:pPr>
        <w:spacing w:before="60" w:after="60"/>
        <w:ind/>
        <w:jc w:val="left"/>
      </w:pPr>
      <w:r>
        <w:rPr>
          <w:rFonts w:ascii="Arial" w:cs="Arial" w:eastAsia="Arial" w:hAnsi="Arial"/>
          <w:b w:val="false"/>
          <w:bCs w:val="false"/>
          <w:color w:val="808080"/>
          <w:sz w:val="16"/>
          <w:szCs w:val="16"/>
        </w:rPr>
        <w:t xml:space="preserve">This report has been prepared for informational and educational purposes only and does not constitute investment advice, a solicitation, or an offer to buy or sell any security. The views expressed are those of the analyst and are based on publicly available information believed to be reliable at the time of writing, including NVIDIA Corporation's Form 10-K for the fiscal year ended January 26, 2025, publicly available market data, consensus estimates, and independent research. No representation is made as to the accuracy or completeness of the information contained herein. Past performance is not indicative of future results. Forward-looking statements, including revenue projections, price targets, and scenario analyses, are inherently uncertain and may differ materially from actual results. All financial figures are derived from NVDA's FY2025 10-K (filed February 26, 2025) unless otherwise noted. Market prices are as of March 2, 2026.</w:t>
      </w:r>
    </w:p>
    <w:p>
      <w:pPr>
        <w:spacing w:before="0" w:after="120"/>
        <w:ind/>
        <w:jc w:val="left"/>
      </w:pPr>
      <w:r>
        <w:rPr>
          <w:rFonts w:ascii="Arial" w:cs="Arial" w:eastAsia="Arial" w:hAnsi="Arial"/>
          <w:b w:val="false"/>
          <w:bCs w:val="false"/>
          <w:color w:val="808080"/>
          <w:sz w:val="16"/>
          <w:szCs w:val="16"/>
        </w:rPr>
        <w:t xml:space="preserve">Investors should conduct their own independent due diligence and consult a licensed financial adviser before making any investment decision. The analyst may hold a position in NVDA securities. This document may not be reproduced or distributed without prior written permission.</w:t>
      </w:r>
    </w:p>
    <w:p>
      <w:pPr>
        <w:spacing w:before="60" w:after="60"/>
        <w:ind/>
        <w:jc w:val="center"/>
      </w:pPr>
      <w:r>
        <w:rPr>
          <w:rFonts w:ascii="Arial" w:cs="Arial" w:eastAsia="Arial" w:hAnsi="Arial"/>
          <w:b w:val="false"/>
          <w:bCs w:val="false"/>
          <w:color w:val="808080"/>
          <w:sz w:val="14"/>
          <w:szCs w:val="14"/>
        </w:rPr>
        <w:t xml:space="preserve">© 2026 Equity Research Division. All rights reserved.</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pBdr>
      <w:spacing w:before="60" w:after="0"/>
    </w:pPr>
    <w:r>
      <w:rPr>
        <w:rFonts w:ascii="Arial" w:cs="Arial" w:eastAsia="Arial" w:hAnsi="Arial"/>
        <w:color w:val="808080"/>
        <w:sz w:val="14"/>
        <w:szCs w:val="14"/>
      </w:rPr>
      <w:t xml:space="preserve">March 2, 2026  |  Equity Research Division  |  Data sourced from NVDA FY2025 10-K, Bloomberg, FactSet, Damodaran (NYU Stern)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pBdr>
      <w:spacing w:before="0" w:after="60"/>
    </w:pPr>
    <w:r>
      <w:rPr>
        <w:rFonts w:ascii="Arial" w:cs="Arial" w:eastAsia="Arial" w:hAnsi="Arial"/>
        <w:b/>
        <w:bCs/>
        <w:color w:val="1F3864"/>
        <w:sz w:val="16"/>
        <w:szCs w:val="16"/>
      </w:rPr>
      <w:t xml:space="preserve">NVIDIA CORPORATION (NVDA)  |  EQUITY RESEARCH INITIATION  |  BUY  |  PT: $215</w:t>
    </w:r>
    <w:r>
      <w:rPr>
        <w:rFonts w:ascii="Arial" w:cs="Arial" w:eastAsia="Arial" w:hAnsi="Arial"/>
        <w:color w:val="808080"/>
        <w:sz w:val="14"/>
        <w:szCs w:val="14"/>
      </w:rPr>
      <w:t xml:space="preserve">                                           CONFIDENTIAL — FOR INFORMATIONAL PURPOSES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3864"/>
      <w:sz w:val="26"/>
      <w:szCs w:val="26"/>
    </w:rPr>
  </w:style>
  <w:style w:type="paragraph" w:styleId="Heading2">
    <w:name w:val="Heading 2"/>
    <w:basedOn w:val="Normal"/>
    <w:next w:val="Normal"/>
    <w:qFormat/>
    <w:pPr>
      <w:spacing w:before="200" w:after="80"/>
      <w:outlineLvl w:val="1"/>
    </w:pPr>
    <w:rPr>
      <w:rFonts w:ascii="Arial" w:cs="Arial" w:eastAsia="Arial" w:hAnsi="Arial"/>
      <w:b/>
      <w:bCs/>
      <w:color w:val="2E4A6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2026-03-03T03:19:51.154Z</dcterms:created>
  <dcterms:modified xsi:type="dcterms:W3CDTF">2026-03-03T03:19:51.155Z</dcterms:modified>
</cp:coreProperties>
</file>

<file path=docProps/custom.xml><?xml version="1.0" encoding="utf-8"?>
<Properties xmlns="http://schemas.openxmlformats.org/officeDocument/2006/custom-properties" xmlns:vt="http://schemas.openxmlformats.org/officeDocument/2006/docPropsVTypes"/>
</file>