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3" w:color="2b5797"/>
        </w:pBdr>
      </w:pPr>
      <w:r>
        <w:rPr>
          <w:b/>
          <w:color w:val="1A3A6E"/>
          <w:sz w:val="38"/>
        </w:rPr>
        <w:t>ITER Vacuum Vessel — Lateral Rattle Analysis</w:t>
      </w:r>
    </w:p>
    <w:p>
      <w:r>
        <w:rPr>
          <w:color w:val="555555"/>
          <w:sz w:val="17"/>
        </w:rPr>
        <w:t>Revised 2026-05-27  ·  5,000-sample Monte Carlo  ·  scipy HiGHS LP  ·  3-DOF rigid-body model  ·  metric: peak-to-peak range (n=1 wall displacement)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Key result:  </w:t>
            </w:r>
            <w:r>
              <w:rPr>
                <w:b w:val="0"/>
                <w:sz w:val="20"/>
              </w:rPr>
              <w:t xml:space="preserve">The vacuum vessel can rattle laterally over a </w:t>
            </w:r>
            <w:r>
              <w:rPr>
                <w:b/>
                <w:sz w:val="20"/>
              </w:rPr>
              <w:t>peak-to-peak range of 3.09 mm</w:t>
            </w:r>
            <w:r>
              <w:rPr>
                <w:b w:val="0"/>
                <w:sz w:val="20"/>
              </w:rPr>
              <w:t xml:space="preserve"> at the worst (nominal, fully-centred) assembly — a hard theoretical ceiling. This lateral motion is an </w:t>
            </w:r>
            <w:r>
              <w:rPr>
                <w:b/>
                <w:sz w:val="20"/>
              </w:rPr>
              <w:t>n=1 rigid displacement of the first wall</w:t>
            </w:r>
            <w:r>
              <w:rPr>
                <w:b w:val="0"/>
                <w:sz w:val="20"/>
              </w:rPr>
              <w:t>: during limited start-up on the inner wall it localises the heat load. Monte Carlo over random assemblies: P95 = 3.01 mm, median = 2.24 mm, mode ≈ 2.49 mm. A separate ±187.5 µrad rotation mode is n=0 (it does not perturb the plasma–wall gap).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Assumption (×2 sensitivity):  </w:t>
            </w:r>
            <w:r>
              <w:rPr>
                <w:b w:val="0"/>
                <w:sz w:val="20"/>
              </w:rPr>
              <w:t xml:space="preserve">the toroidal slot allowance is taken as </w:t>
            </w:r>
            <w:r>
              <w:rPr>
                <w:b/>
                <w:sz w:val="20"/>
              </w:rPr>
              <w:t>±1.5 mm (3 mm total travel)</w:t>
            </w:r>
            <w:r>
              <w:rPr>
                <w:b w:val="0"/>
                <w:sz w:val="20"/>
              </w:rPr>
              <w:t>. If it is actually ±3 mm, every number below doubles. Confirm against the as-built gravity-support specification.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1 — Physical mechanism</w:t>
      </w:r>
    </w:p>
    <w:p>
      <w:pPr>
        <w:spacing w:after="120"/>
      </w:pPr>
      <w:r>
        <w:rPr>
          <w:b w:val="0"/>
          <w:sz w:val="21"/>
        </w:rPr>
        <w:t xml:space="preserve">The VV rests on </w:t>
      </w:r>
      <w:r>
        <w:rPr>
          <w:b/>
          <w:sz w:val="21"/>
        </w:rPr>
        <w:t>9 gravity supports</w:t>
      </w:r>
      <w:r>
        <w:rPr>
          <w:b w:val="0"/>
          <w:sz w:val="21"/>
        </w:rPr>
        <w:t xml:space="preserve"> equally spaced toroidally on a ring of radius R ≈ 8 m. Each is a four-bar linkage with free radial motion and a toroidal pin limited to ±1.5 mm. Radial motion is free; toroidal motion is the constrained rattle. The 9×3 constraint matrix has AᵀA = diag(4.5, 4.5, 576) — exactly diagonal, so the three rigid-body DOFs are uncorrelated.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2 — Why it matters: an n=1 first-wall displacement</w:t>
      </w:r>
    </w:p>
    <w:p>
      <w:pPr>
        <w:spacing w:after="120"/>
      </w:pPr>
      <w:r>
        <w:rPr>
          <w:b w:val="0"/>
          <w:sz w:val="21"/>
        </w:rPr>
        <w:t xml:space="preserve">A rigid horizontal shift of the vessel moves the first wall sideways relative to the plasma axis, so the plasma–wall gap varies as cos(toroidal angle) — a textbook </w:t>
      </w:r>
      <w:r>
        <w:rPr>
          <w:b/>
          <w:sz w:val="21"/>
        </w:rPr>
        <w:t>n=1 perturbation</w:t>
      </w:r>
      <w:r>
        <w:rPr>
          <w:b w:val="0"/>
          <w:sz w:val="21"/>
        </w:rPr>
        <w:t xml:space="preserve">. The vessel lands, then moves between shots under thermal and EM loads.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Consequence:  </w:t>
            </w:r>
            <w:r>
              <w:rPr>
                <w:b w:val="0"/>
                <w:sz w:val="20"/>
              </w:rPr>
              <w:t>When the plasma is limited on the inner wall during start-up, the n=1 gap asymmetry localises the heat load toroidally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1"/>
        </w:rPr>
        <w:t xml:space="preserve">Rotation about the vertical axis is </w:t>
      </w:r>
      <w:r>
        <w:rPr>
          <w:b/>
          <w:sz w:val="21"/>
        </w:rPr>
        <w:t>n=0</w:t>
      </w:r>
      <w:r>
        <w:rPr>
          <w:b w:val="0"/>
          <w:sz w:val="21"/>
        </w:rPr>
        <w:t xml:space="preserve"> — it leaves the plasma–wall gap unchanged and is treated as a separate local-alignment mode, not part of the n=1 budget.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3 — The number: peak-to-peak rattle range</w:t>
      </w:r>
    </w:p>
    <w:p>
      <w:pPr>
        <w:spacing w:after="120"/>
      </w:pPr>
      <w:r>
        <w:rPr>
          <w:b w:val="0"/>
          <w:sz w:val="21"/>
        </w:rPr>
        <w:t>Each support travels ±1.5 mm, yet the nominal range is 3.093 mm — slightly over the 3 mm slot because the rotation DOF lets the centre exploit the angled supports' slack (a 3-support binding vertex). 5,000-sample Monte Carlo over random assemblies: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Statistic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Range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LP ceiling (nominal u=0)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3.093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Hard maximum; centred assembly = worst = team's target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P95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95th percentile of random assemblies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Mode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2.49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Most probable as-built value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Median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2.24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Typical random assembly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9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Peak-to-peak range distribution and CDF; nominal ceiling and percentiles marked.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Caution:  </w:t>
            </w:r>
            <w:r>
              <w:rPr>
                <w:b w:val="0"/>
                <w:sz w:val="20"/>
              </w:rPr>
              <w:t xml:space="preserve">The range is robust to assembly scatter (P95 = 3.01 mm is barely below the ceiling), and the team aims to centre the brackets — which is the worst case. Use </w:t>
            </w:r>
            <w:r>
              <w:rPr>
                <w:b/>
                <w:sz w:val="20"/>
              </w:rPr>
              <w:t>3.09 mm</w:t>
            </w:r>
            <w:r>
              <w:rPr>
                <w:b w:val="0"/>
                <w:sz w:val="20"/>
              </w:rPr>
              <w:t>. The MC P95 is not a relaxation of the design case.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4 — Worst case and typical assembly</w:t>
      </w:r>
    </w:p>
    <w:p>
      <w:pPr>
        <w:spacing w:after="120"/>
      </w:pPr>
      <w:r>
        <w:rPr>
          <w:b w:val="0"/>
          <w:sz w:val="21"/>
        </w:rPr>
        <w:t>The VV rocks along its principal rattle axis. Animations play in the served HTML report; below, each GIF (first frame) is followed by a key-frame strip showing the motion.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worst_case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 case — peak-to-peak range 3.09 mm (the design bound).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worst_trans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Worst-case key frames (×500 magnification).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mode.gif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Typical as-built assembly, near the distribution mode — range ≈ 2.49 mm (the most likely value).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mode_trans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Near-mode (typical assembly) key frames (×500 magnification).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5 — Effect of gap measurements (one sector landed)</w:t>
      </w:r>
    </w:p>
    <w:p>
      <w:pPr>
        <w:spacing w:after="120"/>
      </w:pPr>
      <w:r>
        <w:rPr>
          <w:b w:val="0"/>
          <w:sz w:val="21"/>
        </w:rPr>
        <w:t>Measuring a bracket gap fixes where its 3 mm constraint band sits, not its width — so the bound tightens only when a measured offset happens to be a binding constraint. Because AᵀA is diagonal, adjacent vs spread-out supports are statistically identical (no 'coupled cluster' to target).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Supports measured (k of 9)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Conditional P95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0 (none — today's design state)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  (one sector landed)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3.0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no meaningful change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marginal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tightening begins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9 (all)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deterministic ≈ 2.5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one value; 0.2–3.09; never 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16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measur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Left: what measuring all gaps reveals (a value from the distribution, never 0). Right: conditional P95 vs gaps measured.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Current state:  </w:t>
            </w:r>
            <w:r>
              <w:rPr>
                <w:b w:val="0"/>
                <w:sz w:val="20"/>
              </w:rPr>
              <w:t>With one VV sector landed (k=1), the q95 bound is statistically unchanged from the all-unknown baseline. The bound to use today remains 3.09 mm. Measurement reveals the rattle, it does not relieve it; a material reduction needs roughly five or more sectors measured.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6 — Recommendations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Use 3.09 mm peak-to-peak as the bounding n=1 lateral wall displacement (nominal/centred = worst case = ceiling).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Do not rely on the MC P95 (3.01 mm) as a relaxation — it is ~3% below the ceiling and the realistic assembly is centred.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Assess start-up heat-load localisation on the inner-wall limiter for an n=1 offset up to ≈ 2.9 mm single-sided, 3.09 mm shot-to-shot.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The bound is set by the 3 mm toroidal slot and is largely irreducible by assembly control — the lever is the tolerance or added toroidal restraint.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Gap metrology gives little benefit until ≥ 5 sectors are measured; confirm whether 'landed' implies a measured gap.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Confirm the ±1.5 mm vs ±3 mm slot interpretation against the as-built GS spec (scales every number ×2).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Treat the ±187.5 µrad rotation (n=0) as a separate local-alignment case for ports/penetrations.</w:t>
            </w:r>
          </w:p>
        </w:tc>
      </w:tr>
    </w:tbl>
    <w:p>
      <w:pPr>
        <w:spacing w:after="40"/>
      </w:pPr>
    </w:p>
    <w:p>
      <w:r>
        <w:rPr>
          <w:color w:val="555555"/>
          <w:sz w:val="16"/>
        </w:rPr>
        <w:t>Monte Carlo generated reproducibly by vv_mc_generator.py (scipy HiGHS LP, peak-to-peak range metric, N=5000, fixed seed 20260527 → committed data in data/). Figures and animations by vv_viz.py. Every number regenerates from the repository. Source: Simon-McIntosh/vv.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gif"/><Relationship Id="rId11" Type="http://schemas.openxmlformats.org/officeDocument/2006/relationships/image" Target="media/image3.png"/><Relationship Id="rId12" Type="http://schemas.openxmlformats.org/officeDocument/2006/relationships/image" Target="media/image4.gif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