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8" w:space="3" w:color="2b5797"/>
        </w:pBdr>
      </w:pPr>
      <w:r>
        <w:rPr>
          <w:b/>
          <w:color w:val="1A3A6E"/>
          <w:sz w:val="38"/>
        </w:rPr>
        <w:t>ITER Vacuum Vessel — Lateral Displacement Analysis</w:t>
      </w:r>
    </w:p>
    <w:p>
      <w:r>
        <w:rPr>
          <w:b/>
          <w:color w:val="1A3A6E"/>
          <w:sz w:val="22"/>
        </w:rPr>
        <w:t>Simon McIntosh</w:t>
      </w:r>
      <w:r>
        <w:rPr>
          <w:color w:val="555555"/>
          <w:sz w:val="20"/>
        </w:rPr>
        <w:t xml:space="preserve">   ·   2026-05-28</w:t>
      </w:r>
    </w:p>
    <w:p>
      <w:r>
        <w:rPr>
          <w:color w:val="555555"/>
          <w:sz w:val="17"/>
        </w:rPr>
        <w:t>5,000-sample Monte Carlo  ·  scipy HiGHS LP  ·  3-DOF rigid-body model  ·  two metrics: departure-from-centre (frictionless) and polytope width (stiction walk)  ·  R_s ≈ 10 m, M ≈ 9000 t (ITER_D_6TLUDY)</w:t>
      </w:r>
    </w:p>
    <w:tbl>
      <w:tblPr>
        <w:tblW w:type="auto" w:w="0"/>
        <w:jc w:val="center"/>
        <w:tblLook w:firstColumn="1" w:firstRow="1" w:lastColumn="0" w:lastRow="0" w:noHBand="0" w:noVBand="1" w:val="04A0"/>
      </w:tblPr>
      <w:tblGrid>
        <w:gridCol w:w="8640"/>
      </w:tblGrid>
      <w:tr>
        <w:tc>
          <w:tcPr>
            <w:tcW w:type="dxa" w:w="8640"/>
            <w:shd w:val="clear" w:fill="fff0ee"/>
            <w:tcBorders>
              <w:left w:val="single" w:sz="24" w:color="cc2200"/>
            </w:tcBorders>
            <w:tcBorders>
              <w:top w:val="single" w:sz="4" w:color="fff0ee"/>
              <w:bottom w:val="single" w:sz="4" w:color="fff0ee"/>
              <w:right w:val="single" w:sz="4" w:color="fff0ee"/>
            </w:tcBorders>
          </w:tcPr>
          <w:p>
            <w:pPr>
              <w:spacing w:before="0" w:after="40"/>
            </w:pPr>
            <w:r>
              <w:rPr>
                <w:b/>
                <w:color w:val="CC2200"/>
              </w:rPr>
              <w:t xml:space="preserve">Summary of findings:  </w:t>
            </w:r>
            <w:r>
              <w:rPr>
                <w:b w:val="0"/>
                <w:sz w:val="20"/>
              </w:rPr>
              <w:t>The vessel rests on nine inward-inclined (15°) gravity supports that form a soft lateral gravitational pendulum (K ≈ 2.7 kN/mm, T_n ≈ 11 s). Whether the vessel actually self-centres is decided by friction, and that selects between two bounds:</w:t>
              <w:br/>
              <w:br/>
            </w:r>
            <w:r>
              <w:rPr>
                <w:b/>
                <w:sz w:val="20"/>
              </w:rPr>
              <w:t xml:space="preserve">• Frictionless lower bound — self-centring (§3–§6). </w:t>
            </w:r>
            <w:r>
              <w:rPr>
                <w:b w:val="0"/>
                <w:sz w:val="20"/>
              </w:rPr>
              <w:t>If the supports slid freely the vessel would return to the gravitational centre at rest (≈ 0 contribution to the n = 1 shift); only forced excursions would reach the departure envelope — nominal 1.55 mm, distribution-dependent tail to ~3.0 mm.</w:t>
              <w:br/>
            </w:r>
            <w:r>
              <w:rPr>
                <w:b/>
                <w:sz w:val="20"/>
              </w:rPr>
              <w:t xml:space="preserve">• Realistic bound — stiction walk (§10). </w:t>
            </w:r>
            <w:r>
              <w:rPr>
                <w:b w:val="0"/>
                <w:sz w:val="20"/>
              </w:rPr>
              <w:t>Dead-weight axial load per VVGS ≈ 10 MN; even with low-friction hinges the toroidal breakaway is ≈ 1 MN per support (≈ 5.7 MN for the whole vessel) — roughly 1000× the ≈ 4 kN gravitational restoring. Gravity cannot recentre the vessel: once a disruption/VDE load slides it, it stays, and over many events it ratchets within the polytope. The relevant n = 1 envelope is the polytope width ≈ 3.1 mm (§9) — about half the 6 mm budget.</w:t>
              <w:br/>
            </w:r>
            <w:r>
              <w:rPr>
                <w:b/>
                <w:sz w:val="20"/>
              </w:rPr>
              <w:t xml:space="preserve">• Thermal cycling does not recentre it (§11). </w:t>
            </w:r>
            <w:r>
              <w:rPr>
                <w:b w:val="0"/>
                <w:sz w:val="20"/>
              </w:rPr>
              <w:t>Warming to 100 °C grows the vessel radially ~12 mm (freely accommodated), but the off-centre toroidal demand is only ~µm — far too small to break the MN-scale stiction.</w:t>
              <w:br/>
            </w:r>
            <w:r>
              <w:rPr>
                <w:b/>
                <w:sz w:val="20"/>
              </w:rPr>
              <w:t xml:space="preserve">• The statistics are only as good as the gap distribution (§12). </w:t>
            </w:r>
            <w:r>
              <w:rPr>
                <w:b w:val="0"/>
                <w:sz w:val="20"/>
              </w:rPr>
              <w:t>The Uniform(±1.5 mm) prior is not validated, so the MC percentiles are illustrative. The robust results are the distribution-free bounds and the force comparison. Measuring the nine gaps with feeler gauges collapses the problem to a deterministic calculation and is the recommended path.</w:t>
            </w:r>
          </w:p>
        </w:tc>
      </w:tr>
    </w:tbl>
    <w:p>
      <w:pPr>
        <w:spacing w:after="40"/>
      </w:pPr>
    </w:p>
    <w:p>
      <w:pPr>
        <w:spacing w:before="320" w:after="80"/>
        <w:pBdr>
          <w:bottom w:val="single" w:sz="6" w:space="2" w:color="2b5797"/>
        </w:pBdr>
      </w:pPr>
      <w:r>
        <w:rPr>
          <w:b/>
          <w:color w:val="2B5797"/>
          <w:sz w:val="28"/>
        </w:rPr>
        <w:t>1 — Problem &amp; Assumptions</w:t>
      </w:r>
    </w:p>
    <w:p>
      <w:pPr>
        <w:spacing w:after="120"/>
      </w:pPr>
      <w:r>
        <w:rPr>
          <w:b w:val="0"/>
          <w:sz w:val="21"/>
        </w:rPr>
        <w:t xml:space="preserve">The vacuum vessel rests on </w:t>
      </w:r>
      <w:r>
        <w:rPr>
          <w:b/>
          <w:sz w:val="21"/>
        </w:rPr>
        <w:t>nine gravity supports (VVGS)</w:t>
      </w:r>
      <w:r>
        <w:rPr>
          <w:b w:val="0"/>
          <w:sz w:val="21"/>
        </w:rPr>
        <w:t xml:space="preserve"> equally spaced toroidally beneath the lower ports, on a ring of radius R_s ≈ 10 m. Each VVGS is a </w:t>
      </w:r>
      <w:r>
        <w:rPr>
          <w:b/>
          <w:sz w:val="21"/>
        </w:rPr>
        <w:t>dual-hinge mechanism inclined at 15° from vertical</w:t>
      </w:r>
      <w:r>
        <w:rPr>
          <w:b w:val="0"/>
          <w:sz w:val="21"/>
        </w:rPr>
        <w:t xml:space="preserve">, leaning inward toward the machine axis. Radial motion of the vessel is permitted by rotation of the dowels (this accommodates thermal expansion between assembly and operation/baking); toroidal and vertical motion are restrained by the dowels' rigidity. The toroidal restraint is a </w:t>
      </w:r>
      <w:r>
        <w:rPr>
          <w:b/>
          <w:sz w:val="21"/>
        </w:rPr>
        <w:t>±1.5 mm (3 mm total) dowel slot</w:t>
      </w:r>
      <w:r>
        <w:rPr>
          <w:b w:val="0"/>
          <w:sz w:val="21"/>
        </w:rPr>
        <w:t>.</w:t>
      </w:r>
    </w:p>
    <w:tbl>
      <w:tblPr>
        <w:tblW w:type="auto" w:w="0"/>
        <w:jc w:val="center"/>
        <w:tblLook w:firstColumn="1" w:firstRow="1" w:lastColumn="0" w:lastRow="0" w:noHBand="0" w:noVBand="1" w:val="04A0"/>
      </w:tblPr>
      <w:tblGrid>
        <w:gridCol w:w="2880"/>
        <w:gridCol w:w="2880"/>
        <w:gridCol w:w="2880"/>
      </w:tblGrid>
      <w:tr>
        <w:tc>
          <w:tcPr>
            <w:tcW w:type="dxa" w:w="2880"/>
            <w:tcBorders>
              <w:top w:val="single" w:sz="8" w:color="888888"/>
              <w:bottom w:val="single" w:sz="6" w:color="888888"/>
              <w:left w:val="nil"/>
              <w:right w:val="nil"/>
            </w:tcBorders>
          </w:tcPr>
          <w:p>
            <w:pPr>
              <w:spacing w:before="0" w:after="40"/>
            </w:pPr>
            <w:r>
              <w:rPr>
                <w:b/>
                <w:color w:val="1A3A6E"/>
                <w:sz w:val="20"/>
              </w:rPr>
              <w:t>Parameter</w:t>
            </w:r>
          </w:p>
        </w:tc>
        <w:tc>
          <w:tcPr>
            <w:tcW w:type="dxa" w:w="2880"/>
            <w:tcBorders>
              <w:top w:val="single" w:sz="8" w:color="888888"/>
              <w:bottom w:val="single" w:sz="6" w:color="888888"/>
              <w:left w:val="nil"/>
              <w:right w:val="nil"/>
            </w:tcBorders>
          </w:tcPr>
          <w:p>
            <w:pPr>
              <w:spacing w:before="0" w:after="40"/>
            </w:pPr>
            <w:r>
              <w:rPr>
                <w:b/>
                <w:color w:val="1A3A6E"/>
                <w:sz w:val="20"/>
              </w:rPr>
              <w:t>Value</w:t>
            </w:r>
          </w:p>
        </w:tc>
        <w:tc>
          <w:tcPr>
            <w:tcW w:type="dxa" w:w="2880"/>
            <w:tcBorders>
              <w:top w:val="single" w:sz="8" w:color="888888"/>
              <w:bottom w:val="single" w:sz="6" w:color="888888"/>
              <w:left w:val="nil"/>
              <w:right w:val="nil"/>
            </w:tcBorders>
          </w:tcPr>
          <w:p>
            <w:pPr>
              <w:spacing w:before="0" w:after="40"/>
            </w:pPr>
            <w:r>
              <w:rPr>
                <w:b/>
                <w:color w:val="1A3A6E"/>
                <w:sz w:val="20"/>
              </w:rPr>
              <w:t>Note</w:t>
            </w:r>
          </w:p>
        </w:tc>
      </w:tr>
      <w:tr>
        <w:tc>
          <w:tcPr>
            <w:tcW w:type="dxa" w:w="2880"/>
            <w:tcBorders>
              <w:top w:val="nil"/>
              <w:bottom w:val="nil"/>
              <w:left w:val="nil"/>
              <w:right w:val="nil"/>
            </w:tcBorders>
          </w:tcPr>
          <w:p>
            <w:pPr>
              <w:spacing w:before="0" w:after="40"/>
            </w:pPr>
            <w:r>
              <w:rPr>
                <w:b/>
                <w:sz w:val="20"/>
              </w:rPr>
              <w:t>Number of supports</w:t>
            </w:r>
          </w:p>
        </w:tc>
        <w:tc>
          <w:tcPr>
            <w:tcW w:type="dxa" w:w="2880"/>
            <w:tcBorders>
              <w:top w:val="nil"/>
              <w:bottom w:val="nil"/>
              <w:left w:val="nil"/>
              <w:right w:val="nil"/>
            </w:tcBorders>
          </w:tcPr>
          <w:p>
            <w:pPr>
              <w:spacing w:before="0" w:after="40"/>
            </w:pPr>
            <w:r>
              <w:rPr>
                <w:sz w:val="20"/>
              </w:rPr>
              <w:t>9</w:t>
            </w:r>
          </w:p>
        </w:tc>
        <w:tc>
          <w:tcPr>
            <w:tcW w:type="dxa" w:w="2880"/>
            <w:tcBorders>
              <w:top w:val="nil"/>
              <w:bottom w:val="nil"/>
              <w:left w:val="nil"/>
              <w:right w:val="nil"/>
            </w:tcBorders>
          </w:tcPr>
          <w:p>
            <w:pPr>
              <w:spacing w:before="0" w:after="40"/>
            </w:pPr>
            <w:r>
              <w:rPr>
                <w:sz w:val="20"/>
              </w:rPr>
              <w:t>Equally spaced toroidally</w:t>
            </w:r>
          </w:p>
        </w:tc>
      </w:tr>
      <w:tr>
        <w:tc>
          <w:tcPr>
            <w:tcW w:type="dxa" w:w="2880"/>
            <w:tcBorders>
              <w:top w:val="nil"/>
              <w:bottom w:val="nil"/>
              <w:left w:val="nil"/>
              <w:right w:val="nil"/>
            </w:tcBorders>
          </w:tcPr>
          <w:p>
            <w:pPr>
              <w:spacing w:before="0" w:after="40"/>
            </w:pPr>
            <w:r>
              <w:rPr>
                <w:b/>
                <w:sz w:val="20"/>
              </w:rPr>
              <w:t>Support ring radius R_s</w:t>
            </w:r>
          </w:p>
        </w:tc>
        <w:tc>
          <w:tcPr>
            <w:tcW w:type="dxa" w:w="2880"/>
            <w:tcBorders>
              <w:top w:val="nil"/>
              <w:bottom w:val="nil"/>
              <w:left w:val="nil"/>
              <w:right w:val="nil"/>
            </w:tcBorders>
          </w:tcPr>
          <w:p>
            <w:pPr>
              <w:spacing w:before="0" w:after="40"/>
            </w:pPr>
            <w:r>
              <w:rPr>
                <w:sz w:val="20"/>
              </w:rPr>
              <w:t>≈ 10 m</w:t>
            </w:r>
          </w:p>
        </w:tc>
        <w:tc>
          <w:tcPr>
            <w:tcW w:type="dxa" w:w="2880"/>
            <w:tcBorders>
              <w:top w:val="nil"/>
              <w:bottom w:val="nil"/>
              <w:left w:val="nil"/>
              <w:right w:val="nil"/>
            </w:tcBorders>
          </w:tcPr>
          <w:p>
            <w:pPr>
              <w:spacing w:before="0" w:after="40"/>
            </w:pPr>
            <w:r>
              <w:rPr>
                <w:sz w:val="20"/>
              </w:rPr>
              <w:t>ITER_D_6TLUDY (VV Load Spec)</w:t>
            </w:r>
          </w:p>
        </w:tc>
      </w:tr>
      <w:tr>
        <w:tc>
          <w:tcPr>
            <w:tcW w:type="dxa" w:w="2880"/>
            <w:tcBorders>
              <w:top w:val="nil"/>
              <w:bottom w:val="nil"/>
              <w:left w:val="nil"/>
              <w:right w:val="nil"/>
            </w:tcBorders>
          </w:tcPr>
          <w:p>
            <w:pPr>
              <w:spacing w:before="0" w:after="40"/>
            </w:pPr>
            <w:r>
              <w:rPr>
                <w:b/>
                <w:sz w:val="20"/>
              </w:rPr>
              <w:t>Toroidal slot per support</w:t>
            </w:r>
          </w:p>
        </w:tc>
        <w:tc>
          <w:tcPr>
            <w:tcW w:type="dxa" w:w="2880"/>
            <w:tcBorders>
              <w:top w:val="nil"/>
              <w:bottom w:val="nil"/>
              <w:left w:val="nil"/>
              <w:right w:val="nil"/>
            </w:tcBorders>
          </w:tcPr>
          <w:p>
            <w:pPr>
              <w:spacing w:before="0" w:after="40"/>
            </w:pPr>
            <w:r>
              <w:rPr>
                <w:sz w:val="20"/>
              </w:rPr>
              <w:t>±1.5 mm (3 mm total)</w:t>
            </w:r>
          </w:p>
        </w:tc>
        <w:tc>
          <w:tcPr>
            <w:tcW w:type="dxa" w:w="2880"/>
            <w:tcBorders>
              <w:top w:val="nil"/>
              <w:bottom w:val="nil"/>
              <w:left w:val="nil"/>
              <w:right w:val="nil"/>
            </w:tcBorders>
          </w:tcPr>
          <w:p>
            <w:pPr>
              <w:spacing w:before="0" w:after="40"/>
            </w:pPr>
            <w:r>
              <w:rPr>
                <w:sz w:val="20"/>
              </w:rPr>
              <w:t>Assembly tolerance (see below)</w:t>
            </w:r>
          </w:p>
        </w:tc>
      </w:tr>
      <w:tr>
        <w:tc>
          <w:tcPr>
            <w:tcW w:type="dxa" w:w="2880"/>
            <w:tcBorders>
              <w:top w:val="nil"/>
              <w:bottom w:val="nil"/>
              <w:left w:val="nil"/>
              <w:right w:val="nil"/>
            </w:tcBorders>
          </w:tcPr>
          <w:p>
            <w:pPr>
              <w:spacing w:before="0" w:after="40"/>
            </w:pPr>
            <w:r>
              <w:rPr>
                <w:b/>
                <w:sz w:val="20"/>
              </w:rPr>
              <w:t>Hinge inclination from vertical</w:t>
            </w:r>
          </w:p>
        </w:tc>
        <w:tc>
          <w:tcPr>
            <w:tcW w:type="dxa" w:w="2880"/>
            <w:tcBorders>
              <w:top w:val="nil"/>
              <w:bottom w:val="nil"/>
              <w:left w:val="nil"/>
              <w:right w:val="nil"/>
            </w:tcBorders>
          </w:tcPr>
          <w:p>
            <w:pPr>
              <w:spacing w:before="0" w:after="40"/>
            </w:pPr>
            <w:r>
              <w:rPr>
                <w:sz w:val="20"/>
              </w:rPr>
              <w:t>15°</w:t>
            </w:r>
          </w:p>
        </w:tc>
        <w:tc>
          <w:tcPr>
            <w:tcW w:type="dxa" w:w="2880"/>
            <w:tcBorders>
              <w:top w:val="nil"/>
              <w:bottom w:val="nil"/>
              <w:left w:val="nil"/>
              <w:right w:val="nil"/>
            </w:tcBorders>
          </w:tcPr>
          <w:p>
            <w:pPr>
              <w:spacing w:before="0" w:after="40"/>
            </w:pPr>
            <w:r>
              <w:rPr>
                <w:sz w:val="20"/>
              </w:rPr>
              <w:t>Inward (centring)</w:t>
            </w:r>
          </w:p>
        </w:tc>
      </w:tr>
      <w:tr>
        <w:tc>
          <w:tcPr>
            <w:tcW w:type="dxa" w:w="2880"/>
            <w:tcBorders>
              <w:top w:val="nil"/>
              <w:bottom w:val="single" w:sz="8" w:color="888888"/>
              <w:left w:val="nil"/>
              <w:right w:val="nil"/>
            </w:tcBorders>
          </w:tcPr>
          <w:p>
            <w:pPr>
              <w:spacing w:before="0" w:after="40"/>
            </w:pPr>
            <w:r>
              <w:rPr>
                <w:b/>
                <w:sz w:val="20"/>
              </w:rPr>
              <w:t>Supported mass M</w:t>
            </w:r>
          </w:p>
        </w:tc>
        <w:tc>
          <w:tcPr>
            <w:tcW w:type="dxa" w:w="2880"/>
            <w:tcBorders>
              <w:top w:val="nil"/>
              <w:bottom w:val="single" w:sz="8" w:color="888888"/>
              <w:left w:val="nil"/>
              <w:right w:val="nil"/>
            </w:tcBorders>
          </w:tcPr>
          <w:p>
            <w:pPr>
              <w:spacing w:before="0" w:after="40"/>
            </w:pPr>
            <w:r>
              <w:rPr>
                <w:sz w:val="20"/>
              </w:rPr>
              <w:t>≈ 9000 t</w:t>
            </w:r>
          </w:p>
        </w:tc>
        <w:tc>
          <w:tcPr>
            <w:tcW w:type="dxa" w:w="2880"/>
            <w:tcBorders>
              <w:top w:val="nil"/>
              <w:bottom w:val="single" w:sz="8" w:color="888888"/>
              <w:left w:val="nil"/>
              <w:right w:val="nil"/>
            </w:tcBorders>
          </w:tcPr>
          <w:p>
            <w:pPr>
              <w:spacing w:before="0" w:after="40"/>
            </w:pPr>
            <w:r>
              <w:rPr>
                <w:sz w:val="20"/>
              </w:rPr>
              <w:t>VV + in-vessel (ITER_D_6TLUDY)</w:t>
            </w:r>
          </w:p>
        </w:tc>
      </w:tr>
    </w:tbl>
    <w:p>
      <w:pPr>
        <w:spacing w:after="80"/>
      </w:pPr>
    </w:p>
    <w:p>
      <w:pPr>
        <w:spacing w:before="200" w:after="40"/>
      </w:pPr>
      <w:r>
        <w:rPr>
          <w:b/>
          <w:color w:val="444444"/>
          <w:sz w:val="23"/>
        </w:rPr>
        <w:t>Assembly assumption — the source of mobility</w:t>
      </w:r>
    </w:p>
    <w:p>
      <w:pPr>
        <w:spacing w:after="120"/>
      </w:pPr>
      <w:r>
        <w:rPr>
          <w:b w:val="0"/>
          <w:sz w:val="21"/>
        </w:rPr>
        <w:t xml:space="preserve">At each VVGS the connecting pin is oriented in the toroidal direction and runs through interleaved vessel-side and ground-side tabs. </w:t>
      </w:r>
      <w:r>
        <w:rPr>
          <w:b/>
          <w:sz w:val="21"/>
        </w:rPr>
        <w:t>The holes are tight on the pin (no radial play); the toroidal clearance is the spacing between adjacent tabs along the pin.</w:t>
      </w:r>
      <w:r>
        <w:rPr>
          <w:b w:val="0"/>
          <w:sz w:val="21"/>
        </w:rPr>
        <w:t xml:space="preserve"> That inter-tab spacing is required to bring the parts together so the tabs can be aligned and the pin can be inserted — without it the support cannot be assembled. The same spacing then permits the vessel-side tabs to slide along the pin (toroidally) once assembled, giving </w:t>
      </w:r>
      <w:r>
        <w:rPr>
          <w:b/>
          <w:sz w:val="21"/>
        </w:rPr>
        <w:t>±1.5 mm (3 mm total)</w:t>
      </w:r>
      <w:r>
        <w:rPr>
          <w:b w:val="0"/>
          <w:sz w:val="21"/>
        </w:rPr>
        <w:t xml:space="preserve"> of lateral mobility per support. If the joints are </w:t>
      </w:r>
      <w:r>
        <w:rPr>
          <w:b/>
          <w:sz w:val="21"/>
        </w:rPr>
        <w:t>left unshimmed</w:t>
      </w:r>
      <w:r>
        <w:rPr>
          <w:b w:val="0"/>
          <w:sz w:val="21"/>
        </w:rPr>
        <w:t xml:space="preserve"> — the case treated throughout this report — this assembly clearance is what drives the analysis.</w:t>
      </w:r>
    </w:p>
    <w:p>
      <w:pPr>
        <w:spacing w:after="120"/>
      </w:pPr>
      <w:r>
        <w:rPr>
          <w:b w:val="0"/>
          <w:sz w:val="21"/>
        </w:rPr>
        <w:t xml:space="preserve">For the Monte-Carlo sections (§5–§6) we adopt the prior that each support's pin offset u_i is </w:t>
      </w:r>
      <w:r>
        <w:rPr>
          <w:b/>
          <w:sz w:val="21"/>
        </w:rPr>
        <w:t>independent across the 9 supports</w:t>
      </w:r>
      <w:r>
        <w:rPr>
          <w:b w:val="0"/>
          <w:sz w:val="21"/>
        </w:rPr>
        <w:t xml:space="preserve"> and </w:t>
      </w:r>
      <w:r>
        <w:rPr>
          <w:b/>
          <w:sz w:val="21"/>
        </w:rPr>
        <w:t>uniformly distributed on [−1.5 mm, +1.5 mm]</w:t>
      </w:r>
      <w:r>
        <w:rPr>
          <w:b/>
          <w:sz w:val="21"/>
        </w:rPr>
        <w:t>. This prior is not validated</w:t>
      </w:r>
      <w:r>
        <w:rPr>
          <w:b w:val="0"/>
          <w:sz w:val="21"/>
        </w:rPr>
        <w:t xml:space="preserve"> — neither the uniform shape nor the ±1.5 mm range is established (§12) — so the resulting percentiles are illustrative, and the load-bearing conclusions of this report are deliberately the distribution-free ones (the kinematic bounds and the force comparison). Shimming a support fixes its u_i to a measured value and removes that support's contribution to the mobility (§6).</w:t>
      </w:r>
    </w:p>
    <w:p>
      <w:pPr>
        <w:spacing w:before="200" w:after="40"/>
      </w:pPr>
      <w:r>
        <w:rPr>
          <w:b/>
          <w:color w:val="444444"/>
          <w:sz w:val="23"/>
        </w:rPr>
        <w:t>Gravitational centring</w:t>
      </w:r>
    </w:p>
    <w:p>
      <w:pPr>
        <w:spacing w:after="120"/>
      </w:pPr>
      <w:r>
        <w:rPr>
          <w:b w:val="0"/>
          <w:sz w:val="21"/>
        </w:rPr>
        <w:t xml:space="preserve">The inward 15° inclination is deliberate. The nine support axes converge above the vessel centre of gravity; for the lateral (n = 1) mode the vessel therefore behaves as if suspended from that convergence point — an </w:t>
      </w:r>
      <w:r>
        <w:rPr>
          <w:b/>
          <w:sz w:val="21"/>
        </w:rPr>
        <w:t>inclined-hinge gravitational pendulum</w:t>
      </w:r>
      <w:r>
        <w:rPr>
          <w:b w:val="0"/>
          <w:sz w:val="21"/>
        </w:rPr>
        <w:t xml:space="preserve"> — and the lateral plane has a parabolic potential well centred on the nominal position. The effective pendulum length is L_eff ≈ R_s / tan(15°) − z_CoG ≈ 32 m (≈ 26–32 m over the estimated z_CoG = 5–10 m range).</w:t>
      </w:r>
    </w:p>
    <w:tbl>
      <w:tblPr>
        <w:tblW w:type="auto" w:w="0"/>
        <w:jc w:val="center"/>
        <w:tblLook w:firstColumn="1" w:firstRow="1" w:lastColumn="0" w:lastRow="0" w:noHBand="0" w:noVBand="1" w:val="04A0"/>
      </w:tblPr>
      <w:tblGrid>
        <w:gridCol w:w="4320"/>
        <w:gridCol w:w="4320"/>
      </w:tblGrid>
      <w:tr>
        <w:tc>
          <w:tcPr>
            <w:tcW w:type="dxa" w:w="4320"/>
            <w:tcBorders>
              <w:top w:val="single" w:sz="8" w:color="888888"/>
              <w:bottom w:val="single" w:sz="6" w:color="888888"/>
              <w:left w:val="nil"/>
              <w:right w:val="nil"/>
            </w:tcBorders>
          </w:tcPr>
          <w:p>
            <w:pPr>
              <w:spacing w:before="0" w:after="40"/>
            </w:pPr>
            <w:r>
              <w:rPr>
                <w:b/>
                <w:color w:val="1A3A6E"/>
                <w:sz w:val="20"/>
              </w:rPr>
              <w:t>Quantity</w:t>
            </w:r>
          </w:p>
        </w:tc>
        <w:tc>
          <w:tcPr>
            <w:tcW w:type="dxa" w:w="4320"/>
            <w:tcBorders>
              <w:top w:val="single" w:sz="8" w:color="888888"/>
              <w:bottom w:val="single" w:sz="6" w:color="888888"/>
              <w:left w:val="nil"/>
              <w:right w:val="nil"/>
            </w:tcBorders>
          </w:tcPr>
          <w:p>
            <w:pPr>
              <w:spacing w:before="0" w:after="40"/>
            </w:pPr>
            <w:r>
              <w:rPr>
                <w:b/>
                <w:color w:val="1A3A6E"/>
                <w:sz w:val="20"/>
              </w:rPr>
              <w:t>Value</w:t>
            </w:r>
          </w:p>
        </w:tc>
      </w:tr>
      <w:tr>
        <w:tc>
          <w:tcPr>
            <w:tcW w:type="dxa" w:w="4320"/>
            <w:tcBorders>
              <w:top w:val="nil"/>
              <w:bottom w:val="nil"/>
              <w:left w:val="nil"/>
              <w:right w:val="nil"/>
            </w:tcBorders>
          </w:tcPr>
          <w:p>
            <w:pPr>
              <w:spacing w:before="0" w:after="40"/>
            </w:pPr>
            <w:r>
              <w:rPr>
                <w:b/>
                <w:sz w:val="20"/>
              </w:rPr>
              <w:t>Lateral centring stiffness</w:t>
            </w:r>
          </w:p>
        </w:tc>
        <w:tc>
          <w:tcPr>
            <w:tcW w:type="dxa" w:w="4320"/>
            <w:tcBorders>
              <w:top w:val="nil"/>
              <w:bottom w:val="nil"/>
              <w:left w:val="nil"/>
              <w:right w:val="nil"/>
            </w:tcBorders>
          </w:tcPr>
          <w:p>
            <w:pPr>
              <w:spacing w:before="0" w:after="40"/>
            </w:pPr>
            <w:r>
              <w:rPr>
                <w:sz w:val="20"/>
              </w:rPr>
              <w:t>K ≈ 2.7 kN / mm</w:t>
            </w:r>
          </w:p>
        </w:tc>
      </w:tr>
      <w:tr>
        <w:tc>
          <w:tcPr>
            <w:tcW w:type="dxa" w:w="4320"/>
            <w:tcBorders>
              <w:top w:val="nil"/>
              <w:bottom w:val="nil"/>
              <w:left w:val="nil"/>
              <w:right w:val="nil"/>
            </w:tcBorders>
          </w:tcPr>
          <w:p>
            <w:pPr>
              <w:spacing w:before="0" w:after="40"/>
            </w:pPr>
            <w:r>
              <w:rPr>
                <w:b/>
                <w:sz w:val="20"/>
              </w:rPr>
              <w:t>Natural period</w:t>
            </w:r>
          </w:p>
        </w:tc>
        <w:tc>
          <w:tcPr>
            <w:tcW w:type="dxa" w:w="4320"/>
            <w:tcBorders>
              <w:top w:val="nil"/>
              <w:bottom w:val="nil"/>
              <w:left w:val="nil"/>
              <w:right w:val="nil"/>
            </w:tcBorders>
          </w:tcPr>
          <w:p>
            <w:pPr>
              <w:spacing w:before="0" w:after="40"/>
            </w:pPr>
            <w:r>
              <w:rPr>
                <w:sz w:val="20"/>
              </w:rPr>
              <w:t>T_n ≈ 11 s   (f ≈ 0.09 Hz)</w:t>
            </w:r>
          </w:p>
        </w:tc>
      </w:tr>
      <w:tr>
        <w:tc>
          <w:tcPr>
            <w:tcW w:type="dxa" w:w="4320"/>
            <w:tcBorders>
              <w:top w:val="nil"/>
              <w:bottom w:val="nil"/>
              <w:left w:val="nil"/>
              <w:right w:val="nil"/>
            </w:tcBorders>
          </w:tcPr>
          <w:p>
            <w:pPr>
              <w:spacing w:before="0" w:after="40"/>
            </w:pPr>
            <w:r>
              <w:rPr>
                <w:b/>
                <w:sz w:val="20"/>
              </w:rPr>
              <w:t>Gravitational force to push the vessel to a ±1.5 mm stop</w:t>
            </w:r>
          </w:p>
        </w:tc>
        <w:tc>
          <w:tcPr>
            <w:tcW w:type="dxa" w:w="4320"/>
            <w:tcBorders>
              <w:top w:val="nil"/>
              <w:bottom w:val="nil"/>
              <w:left w:val="nil"/>
              <w:right w:val="nil"/>
            </w:tcBorders>
          </w:tcPr>
          <w:p>
            <w:pPr>
              <w:spacing w:before="0" w:after="40"/>
            </w:pPr>
            <w:r>
              <w:rPr>
                <w:sz w:val="20"/>
              </w:rPr>
              <w:t>F_stop ≈ 4.1 kN</w:t>
            </w:r>
          </w:p>
        </w:tc>
      </w:tr>
      <w:tr>
        <w:tc>
          <w:tcPr>
            <w:tcW w:type="dxa" w:w="4320"/>
            <w:tcBorders>
              <w:top w:val="nil"/>
              <w:bottom w:val="single" w:sz="8" w:color="888888"/>
              <w:left w:val="nil"/>
              <w:right w:val="nil"/>
            </w:tcBorders>
          </w:tcPr>
          <w:p>
            <w:pPr>
              <w:spacing w:before="0" w:after="40"/>
            </w:pPr>
            <w:r>
              <w:rPr>
                <w:b/>
                <w:sz w:val="20"/>
              </w:rPr>
              <w:t>Rest position with no lateral force (frictionless)</w:t>
            </w:r>
          </w:p>
        </w:tc>
        <w:tc>
          <w:tcPr>
            <w:tcW w:type="dxa" w:w="4320"/>
            <w:tcBorders>
              <w:top w:val="nil"/>
              <w:bottom w:val="single" w:sz="8" w:color="888888"/>
              <w:left w:val="nil"/>
              <w:right w:val="nil"/>
            </w:tcBorders>
          </w:tcPr>
          <w:p>
            <w:pPr>
              <w:spacing w:before="0" w:after="40"/>
            </w:pPr>
            <w:r>
              <w:rPr>
                <w:sz w:val="20"/>
              </w:rPr>
              <w:t>q* = 0 (centred)</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fill="e8efff"/>
            <w:tcBorders>
              <w:left w:val="single" w:sz="24" w:color="2255aa"/>
            </w:tcBorders>
            <w:tcBorders>
              <w:top w:val="single" w:sz="4" w:color="e8efff"/>
              <w:bottom w:val="single" w:sz="4" w:color="e8efff"/>
              <w:right w:val="single" w:sz="4" w:color="e8efff"/>
            </w:tcBorders>
          </w:tcPr>
          <w:p>
            <w:pPr>
              <w:spacing w:before="0" w:after="40"/>
            </w:pPr>
            <w:r>
              <w:rPr>
                <w:b/>
                <w:color w:val="2255AA"/>
              </w:rPr>
              <w:t xml:space="preserve">Consequence — in the frictionless idealisation.  </w:t>
            </w:r>
            <w:r>
              <w:rPr>
                <w:b w:val="0"/>
                <w:sz w:val="20"/>
              </w:rPr>
              <w:t>With no friction, and no applied lateral force, the vessel would sit at the gravitational centre regardless of the assembly offsets — this is the lower-bound picture of §3–§6. §10 shows that dead-weight friction at the supports is ~1000× the centring force, so in reality the vessel does not return to centre once displaced; it holds its last position. Both bounds are carried through this report.</w:t>
            </w:r>
          </w:p>
        </w:tc>
      </w:tr>
    </w:tbl>
    <w:p>
      <w:pPr>
        <w:spacing w:after="40"/>
      </w:pPr>
    </w:p>
    <w:p>
      <w:pPr>
        <w:jc w:val="center"/>
      </w:pPr>
      <w:r>
        <w:drawing>
          <wp:inline xmlns:a="http://schemas.openxmlformats.org/drawingml/2006/main" xmlns:pic="http://schemas.openxmlformats.org/drawingml/2006/picture">
            <wp:extent cx="3291840" cy="4420471"/>
            <wp:docPr id="1" name="Picture 1"/>
            <wp:cNvGraphicFramePr>
              <a:graphicFrameLocks noChangeAspect="1"/>
            </wp:cNvGraphicFramePr>
            <a:graphic>
              <a:graphicData uri="http://schemas.openxmlformats.org/drawingml/2006/picture">
                <pic:pic>
                  <pic:nvPicPr>
                    <pic:cNvPr id="0" name="D_rocking_pendulum.gif"/>
                    <pic:cNvPicPr/>
                  </pic:nvPicPr>
                  <pic:blipFill>
                    <a:blip r:embed="rId9"/>
                    <a:stretch>
                      <a:fillRect/>
                    </a:stretch>
                  </pic:blipFill>
                  <pic:spPr>
                    <a:xfrm>
                      <a:off x="0" y="0"/>
                      <a:ext cx="3291840" cy="4420471"/>
                    </a:xfrm>
                    <a:prstGeom prst="rect"/>
                  </pic:spPr>
                </pic:pic>
              </a:graphicData>
            </a:graphic>
          </wp:inline>
        </w:drawing>
      </w:r>
    </w:p>
    <w:p>
      <w:pPr>
        <w:spacing w:after="160"/>
        <w:jc w:val="center"/>
      </w:pPr>
      <w:r>
        <w:rPr>
          <w:i/>
          <w:color w:val="555555"/>
          <w:sz w:val="17"/>
        </w:rPr>
        <w:t>The mechanism, side-on. Each VVGS is its actual 15° inclined dual-hinge (parallelogram) 4-bar; extended, the strut axes converge at the virtual pivot P, and the rigid vessel rocks about P as a soft gravitational pendulum (lateral sway exaggerated ~×400). This restoring mechanism is ~1000× too weak to overcome the supports' dead-weight stiction (§10).</w:t>
      </w:r>
    </w:p>
    <w:p>
      <w:pPr>
        <w:spacing w:before="320" w:after="80"/>
        <w:pBdr>
          <w:bottom w:val="single" w:sz="6" w:space="2" w:color="2b5797"/>
        </w:pBdr>
      </w:pPr>
      <w:r>
        <w:rPr>
          <w:b/>
          <w:color w:val="2B5797"/>
          <w:sz w:val="28"/>
        </w:rPr>
        <w:t>2 — Constraint Model, Polytope &amp; Linear Programming</w:t>
      </w:r>
    </w:p>
    <w:p>
      <w:pPr>
        <w:spacing w:after="120"/>
      </w:pPr>
      <w:r>
        <w:rPr>
          <w:b w:val="0"/>
          <w:sz w:val="21"/>
        </w:rPr>
        <w:t xml:space="preserve">We model the vacuum vessel as a rigid body with three in-plane degrees of freedom — two horizontal translations Δx, Δy and a rotation Δθ about the vertical axis (collected as </w:t>
      </w:r>
      <w:r>
        <w:rPr>
          <w:b/>
          <w:sz w:val="21"/>
        </w:rPr>
        <w:t>q = [Δx, Δy, Δθ]</w:t>
      </w:r>
      <w:r>
        <w:rPr>
          <w:b w:val="0"/>
          <w:sz w:val="21"/>
        </w:rPr>
        <w:t>). Each of the nine supports imposes a single linear inequality constraint: the toroidal slide of the vessel relative to its dowel must stay within the ±1.5 mm slot. For support i at toroidal angle φ_i = π/2 − 2πi/9 on the support ring at radius R = 10 m, the slide is</w:t>
      </w:r>
    </w:p>
    <w:p>
      <w:pPr>
        <w:spacing w:after="120"/>
        <w:ind w:left="360"/>
      </w:pPr>
      <w:r>
        <w:rPr>
          <w:rFonts w:ascii="Consolas" w:hAnsi="Consolas"/>
          <w:color w:val="333333"/>
          <w:sz w:val="19"/>
        </w:rPr>
        <w:t xml:space="preserve">  δᵢ = −sin(φᵢ)·Δx + cos(φᵢ)·Δy + R·Δθ   ≡   A[i, :] · q ,</w:t>
        <w:br/>
        <w:t xml:space="preserve">      |uᵢ + δᵢ| ≤ 1.5 mm     for all i = 1 … 9,</w:t>
      </w:r>
    </w:p>
    <w:p>
      <w:pPr>
        <w:spacing w:after="120"/>
      </w:pPr>
      <w:r>
        <w:rPr>
          <w:b w:val="0"/>
          <w:sz w:val="21"/>
        </w:rPr>
        <w:t xml:space="preserve">so the displacement is bounded by </w:t>
      </w:r>
      <w:r>
        <w:rPr>
          <w:b/>
          <w:sz w:val="21"/>
        </w:rPr>
        <w:t>18 linear inequalities</w:t>
      </w:r>
      <w:r>
        <w:rPr>
          <w:b w:val="0"/>
          <w:sz w:val="21"/>
        </w:rPr>
        <w:t xml:space="preserve"> (one upper and one lower bound per support). The 9×3 constraint matrix has </w:t>
      </w:r>
      <w:r>
        <w:rPr>
          <w:b/>
          <w:sz w:val="21"/>
        </w:rPr>
        <w:t>AᵀA = diag(4.5, 4.5, 900)</w:t>
      </w:r>
      <w:r>
        <w:rPr>
          <w:b w:val="0"/>
          <w:sz w:val="21"/>
        </w:rPr>
        <w:t xml:space="preserve"> — exactly diagonal, so the three rigid-body DOFs are mutually uncorrelated.</w:t>
      </w:r>
    </w:p>
    <w:tbl>
      <w:tblPr>
        <w:tblW w:type="auto" w:w="0"/>
        <w:jc w:val="center"/>
        <w:tblLook w:firstColumn="1" w:firstRow="1" w:lastColumn="0" w:lastRow="0" w:noHBand="0" w:noVBand="1" w:val="04A0"/>
      </w:tblPr>
      <w:tblGrid>
        <w:gridCol w:w="8640"/>
      </w:tblGrid>
      <w:tr>
        <w:tc>
          <w:tcPr>
            <w:tcW w:type="dxa" w:w="8640"/>
            <w:shd w:val="clear" w:fill="e8efff"/>
            <w:tcBorders>
              <w:left w:val="single" w:sz="24" w:color="2255aa"/>
            </w:tcBorders>
            <w:tcBorders>
              <w:top w:val="single" w:sz="4" w:color="e8efff"/>
              <w:bottom w:val="single" w:sz="4" w:color="e8efff"/>
              <w:right w:val="single" w:sz="4" w:color="e8efff"/>
            </w:tcBorders>
          </w:tcPr>
          <w:p>
            <w:pPr>
              <w:spacing w:before="0" w:after="40"/>
            </w:pPr>
            <w:r>
              <w:rPr>
                <w:b/>
                <w:color w:val="2255AA"/>
              </w:rPr>
              <w:t xml:space="preserve">Polytope &amp; LP.  </w:t>
            </w:r>
            <w:r>
              <w:rPr>
                <w:b w:val="0"/>
                <w:sz w:val="20"/>
              </w:rPr>
              <w:t xml:space="preserve">The set of vessel positions that simultaneously satisfy all 18 inequalities is a convex region of (Δx, Δy, Δθ) space bounded by flat faces — geometrically a </w:t>
            </w:r>
            <w:r>
              <w:rPr>
                <w:b/>
                <w:sz w:val="20"/>
              </w:rPr>
              <w:t>polytope</w:t>
            </w:r>
            <w:r>
              <w:rPr>
                <w:b w:val="0"/>
                <w:sz w:val="20"/>
              </w:rPr>
              <w:t xml:space="preserve"> (the three-dimensional generalisation of a polygon). Projected onto the horizontal plane (Δx, Δy), with Δθ optimised at each direction, it is a closed convex polygon of feasible lateral VV-centre positions — the </w:t>
            </w:r>
            <w:r>
              <w:rPr>
                <w:b/>
                <w:sz w:val="20"/>
              </w:rPr>
              <w:t>displacement polytope</w:t>
            </w:r>
            <w:r>
              <w:rPr>
                <w:b w:val="0"/>
                <w:sz w:val="20"/>
              </w:rPr>
              <w:t>. Its shape depends on the assembly offsets and its diameter is set by the ±1.5 mm slot.</w:t>
              <w:br/>
              <w:br/>
            </w:r>
            <w:r>
              <w:rPr>
                <w:b w:val="0"/>
                <w:sz w:val="20"/>
              </w:rPr>
              <w:t xml:space="preserve">A </w:t>
            </w:r>
            <w:r>
              <w:rPr>
                <w:b/>
                <w:sz w:val="20"/>
              </w:rPr>
              <w:t>linear program (LP)</w:t>
            </w:r>
            <w:r>
              <w:rPr>
                <w:b w:val="0"/>
                <w:sz w:val="20"/>
              </w:rPr>
              <w:t xml:space="preserve"> optimises a linear objective subject to linear inequality constraints — the canonical method for problems of exactly this kind. We solve, in each direction θ, the LP that maximises the projection of q on the unit vector (cos θ, sin θ, 0) subject to the 18 inequalities above; the optimum lies at the polytope vertex furthest along that direction. Sweeping θ traces the polytope boundary, and the maximum of ||q[:2]|| over the sweep is our metric: the </w:t>
            </w:r>
            <w:r>
              <w:rPr>
                <w:b/>
                <w:sz w:val="20"/>
              </w:rPr>
              <w:t>maximum lateral displacement of the VV centre from the gravitational centre</w:t>
            </w:r>
            <w:r>
              <w:rPr>
                <w:b w:val="0"/>
                <w:sz w:val="20"/>
              </w:rPr>
              <w:t xml:space="preserve"> that any applied force can drive the vessel to. We use the HiGHS solver (scipy.optimize.linprog); each LP solves in milliseconds.</w:t>
            </w:r>
          </w:p>
        </w:tc>
      </w:tr>
    </w:tbl>
    <w:p>
      <w:pPr>
        <w:spacing w:after="40"/>
      </w:pPr>
    </w:p>
    <w:p>
      <w:pPr>
        <w:spacing w:before="320" w:after="80"/>
        <w:pBdr>
          <w:bottom w:val="single" w:sz="6" w:space="2" w:color="2b5797"/>
        </w:pBdr>
      </w:pPr>
      <w:r>
        <w:rPr>
          <w:b/>
          <w:color w:val="2B5797"/>
          <w:sz w:val="28"/>
        </w:rPr>
        <w:t>3 — State Diagrams</w:t>
      </w:r>
    </w:p>
    <w:p>
      <w:pPr>
        <w:spacing w:after="120"/>
      </w:pPr>
      <w:r>
        <w:rPr>
          <w:b w:val="0"/>
          <w:sz w:val="21"/>
        </w:rPr>
        <w:t>Each panel shows the VV ring at its maximum-displacement position; the red arrow from the machine axis (black cross) to the displaced VV centre is the maximum-displacement vector — its direction and length show where and how far the vessel can be driven by an applied lateral force. The blue shaded polygon around the machine axis is the displacement polytope (the kinematic envelope of all reachable VV-centre positions). Displacements are magnified ×500.</w:t>
      </w:r>
    </w:p>
    <w:p>
      <w:pPr>
        <w:jc w:val="center"/>
      </w:pPr>
      <w:r>
        <w:drawing>
          <wp:inline xmlns:a="http://schemas.openxmlformats.org/drawingml/2006/main" xmlns:pic="http://schemas.openxmlformats.org/drawingml/2006/picture">
            <wp:extent cx="5852160" cy="3144516"/>
            <wp:docPr id="2" name="Picture 2"/>
            <wp:cNvGraphicFramePr>
              <a:graphicFrameLocks noChangeAspect="1"/>
            </wp:cNvGraphicFramePr>
            <a:graphic>
              <a:graphicData uri="http://schemas.openxmlformats.org/drawingml/2006/picture">
                <pic:pic>
                  <pic:nvPicPr>
                    <pic:cNvPr id="0" name="vv_states.png"/>
                    <pic:cNvPicPr/>
                  </pic:nvPicPr>
                  <pic:blipFill>
                    <a:blip r:embed="rId10"/>
                    <a:stretch>
                      <a:fillRect/>
                    </a:stretch>
                  </pic:blipFill>
                  <pic:spPr>
                    <a:xfrm>
                      <a:off x="0" y="0"/>
                      <a:ext cx="5852160" cy="3144516"/>
                    </a:xfrm>
                    <a:prstGeom prst="rect"/>
                  </pic:spPr>
                </pic:pic>
              </a:graphicData>
            </a:graphic>
          </wp:inline>
        </w:drawing>
      </w:r>
    </w:p>
    <w:p>
      <w:pPr>
        <w:spacing w:after="160"/>
        <w:jc w:val="center"/>
      </w:pPr>
      <w:r>
        <w:rPr>
          <w:i/>
          <w:color w:val="555555"/>
          <w:sz w:val="17"/>
        </w:rPr>
        <w:t>Left — nominal assembly (u = 0): the polytope is symmetric about the machine axis and the maximum displacement is 1.55 mm in any direction. Right — worst observed MC sample: the assembly offsets shift the polytope off-axis, so the maximum-displacement vector reaches further from the machine axis (2.98 mm). At each support the toroidal slot (grey, with red ±1.5 mm end-stops) is held at a constant radial distance from the vessel wall by the inclined linkage — radial motion is free; the coloured pin in the slot indicates how much of the ±1.5 mm toroidal travel is taken up (blue = slack, orange = near the limit, red = at the stop).</w:t>
      </w:r>
    </w:p>
    <w:p>
      <w:pPr>
        <w:spacing w:before="320" w:after="80"/>
        <w:pBdr>
          <w:bottom w:val="single" w:sz="6" w:space="2" w:color="2b5797"/>
        </w:pBdr>
      </w:pPr>
      <w:r>
        <w:rPr>
          <w:b/>
          <w:color w:val="2B5797"/>
          <w:sz w:val="28"/>
        </w:rPr>
        <w:t>4 — Forced-Excursion Envelope</w:t>
      </w:r>
    </w:p>
    <w:p>
      <w:pPr>
        <w:spacing w:after="120"/>
      </w:pPr>
      <w:r>
        <w:rPr>
          <w:b w:val="0"/>
          <w:sz w:val="21"/>
        </w:rPr>
        <w:t>The animations sweep the VV centre through the polytope along its principal axis — the kinematic envelope of possible lateral motion about the centred rest position. With no applied force the vessel sits at the machine axis; sufficient applied force drives it through the envelope. ×500 magnification; the grey toroidal slot at each support tracks the vessel wall (radial motion is free), and the coloured pin shows the toroidal-constraint usage (blue = slack, orange = near limit, red = at stop).</w:t>
      </w:r>
    </w:p>
    <w:tbl>
      <w:tblPr>
        <w:tblW w:type="auto" w:w="0"/>
        <w:jc w:val="center"/>
        <w:tblLook w:firstColumn="1" w:firstRow="1" w:lastColumn="0" w:lastRow="0" w:noHBand="0" w:noVBand="1" w:val="04A0"/>
      </w:tblPr>
      <w:tblGrid>
        <w:gridCol w:w="4320"/>
        <w:gridCol w:w="4320"/>
      </w:tblGrid>
      <w:tr>
        <w:tc>
          <w:tcPr>
            <w:tcW w:type="dxa" w:w="4320"/>
            <w:tcBorders>
              <w:top w:val="nil"/>
              <w:bottom w:val="nil"/>
              <w:left w:val="nil"/>
              <w:right w:val="nil"/>
            </w:tcBorders>
          </w:tcPr>
          <w:p>
            <w:pPr>
              <w:jc w:val="center"/>
            </w:pPr>
            <w:r>
              <w:drawing>
                <wp:inline xmlns:a="http://schemas.openxmlformats.org/drawingml/2006/main" xmlns:pic="http://schemas.openxmlformats.org/drawingml/2006/picture">
                  <wp:extent cx="2743200" cy="2743200"/>
                  <wp:docPr id="3" name="Picture 3"/>
                  <wp:cNvGraphicFramePr>
                    <a:graphicFrameLocks noChangeAspect="1"/>
                  </wp:cNvGraphicFramePr>
                  <a:graphic>
                    <a:graphicData uri="http://schemas.openxmlformats.org/drawingml/2006/picture">
                      <pic:pic>
                        <pic:nvPicPr>
                          <pic:cNvPr id="0" name="rattle_worst_case.gif"/>
                          <pic:cNvPicPr/>
                        </pic:nvPicPr>
                        <pic:blipFill>
                          <a:blip r:embed="rId11"/>
                          <a:stretch>
                            <a:fillRect/>
                          </a:stretch>
                        </pic:blipFill>
                        <pic:spPr>
                          <a:xfrm>
                            <a:off x="0" y="0"/>
                            <a:ext cx="2743200" cy="2743200"/>
                          </a:xfrm>
                          <a:prstGeom prst="rect"/>
                        </pic:spPr>
                      </pic:pic>
                    </a:graphicData>
                  </a:graphic>
                </wp:inline>
              </w:drawing>
            </w:r>
          </w:p>
          <w:p>
            <w:pPr>
              <w:spacing w:after="80"/>
              <w:jc w:val="center"/>
            </w:pPr>
            <w:r>
              <w:rPr>
                <w:b/>
                <w:i/>
                <w:color w:val="555555"/>
                <w:sz w:val="17"/>
              </w:rPr>
              <w:t xml:space="preserve">Worst observed MC sample. </w:t>
            </w:r>
            <w:r>
              <w:rPr>
                <w:b w:val="0"/>
                <w:i/>
                <w:color w:val="555555"/>
                <w:sz w:val="17"/>
              </w:rPr>
              <w:t>Offset assembly; maximum forced departure from the machine axis ≈ 2.98 mm — the kinematic ceiling for the worst random assembly drawn from the §1 uniform prior.</w:t>
            </w:r>
          </w:p>
        </w:tc>
        <w:tc>
          <w:tcPr>
            <w:tcW w:type="dxa" w:w="4320"/>
            <w:tcBorders>
              <w:top w:val="nil"/>
              <w:bottom w:val="nil"/>
              <w:left w:val="nil"/>
              <w:right w:val="nil"/>
            </w:tcBorders>
          </w:tcPr>
          <w:p>
            <w:pPr>
              <w:jc w:val="center"/>
            </w:pPr>
            <w:r>
              <w:drawing>
                <wp:inline xmlns:a="http://schemas.openxmlformats.org/drawingml/2006/main" xmlns:pic="http://schemas.openxmlformats.org/drawingml/2006/picture">
                  <wp:extent cx="2743200" cy="2743200"/>
                  <wp:docPr id="4" name="Picture 4"/>
                  <wp:cNvGraphicFramePr>
                    <a:graphicFrameLocks noChangeAspect="1"/>
                  </wp:cNvGraphicFramePr>
                  <a:graphic>
                    <a:graphicData uri="http://schemas.openxmlformats.org/drawingml/2006/picture">
                      <pic:pic>
                        <pic:nvPicPr>
                          <pic:cNvPr id="0" name="rattle_mode.gif"/>
                          <pic:cNvPicPr/>
                        </pic:nvPicPr>
                        <pic:blipFill>
                          <a:blip r:embed="rId12"/>
                          <a:stretch>
                            <a:fillRect/>
                          </a:stretch>
                        </pic:blipFill>
                        <pic:spPr>
                          <a:xfrm>
                            <a:off x="0" y="0"/>
                            <a:ext cx="2743200" cy="2743200"/>
                          </a:xfrm>
                          <a:prstGeom prst="rect"/>
                        </pic:spPr>
                      </pic:pic>
                    </a:graphicData>
                  </a:graphic>
                </wp:inline>
              </w:drawing>
            </w:r>
          </w:p>
          <w:p>
            <w:pPr>
              <w:spacing w:after="80"/>
              <w:jc w:val="center"/>
            </w:pPr>
            <w:r>
              <w:rPr>
                <w:b/>
                <w:i/>
                <w:color w:val="555555"/>
                <w:sz w:val="17"/>
              </w:rPr>
              <w:t xml:space="preserve">Typical as-built assembly </w:t>
            </w:r>
            <w:r>
              <w:rPr>
                <w:b w:val="0"/>
                <w:i/>
                <w:color w:val="555555"/>
                <w:sz w:val="17"/>
              </w:rPr>
              <w:t>(drawn near the distribution mode). Maximum forced departure ≈ 1.49 mm — the most likely value an as-built machine will actually exhibit.</w:t>
            </w:r>
          </w:p>
        </w:tc>
      </w:tr>
    </w:tbl>
    <w:p>
      <w:pPr>
        <w:spacing w:after="160"/>
      </w:pPr>
    </w:p>
    <w:p>
      <w:pPr>
        <w:spacing w:before="320" w:after="80"/>
        <w:pBdr>
          <w:bottom w:val="single" w:sz="6" w:space="2" w:color="2b5797"/>
        </w:pBdr>
      </w:pPr>
      <w:r>
        <w:rPr>
          <w:b/>
          <w:color w:val="2B5797"/>
          <w:sz w:val="28"/>
        </w:rPr>
        <w:t>5 — Monte Carlo Distribution</w:t>
      </w:r>
    </w:p>
    <w:p>
      <w:pPr>
        <w:spacing w:after="120"/>
      </w:pPr>
      <w:r>
        <w:rPr>
          <w:b w:val="0"/>
          <w:sz w:val="21"/>
        </w:rPr>
        <w:t>Five thousand assemblies, with each support's offset drawn independently from Uniform(−1.5 mm, +1.5 mm). For each assembly the maximum lateral displacement of the VV centre from the gravitational centre is computed (72-direction LP). Reproducibly generated by vv_mc_generator.py with fixed seed 20260527.</w:t>
      </w:r>
    </w:p>
    <w:p>
      <w:pPr>
        <w:jc w:val="center"/>
      </w:pPr>
      <w:r>
        <w:drawing>
          <wp:inline xmlns:a="http://schemas.openxmlformats.org/drawingml/2006/main" xmlns:pic="http://schemas.openxmlformats.org/drawingml/2006/picture">
            <wp:extent cx="5852160" cy="2345472"/>
            <wp:docPr id="5" name="Picture 5"/>
            <wp:cNvGraphicFramePr>
              <a:graphicFrameLocks noChangeAspect="1"/>
            </wp:cNvGraphicFramePr>
            <a:graphic>
              <a:graphicData uri="http://schemas.openxmlformats.org/drawingml/2006/picture">
                <pic:pic>
                  <pic:nvPicPr>
                    <pic:cNvPr id="0" name="mc_dashboard.png"/>
                    <pic:cNvPicPr/>
                  </pic:nvPicPr>
                  <pic:blipFill>
                    <a:blip r:embed="rId13"/>
                    <a:stretch>
                      <a:fillRect/>
                    </a:stretch>
                  </pic:blipFill>
                  <pic:spPr>
                    <a:xfrm>
                      <a:off x="0" y="0"/>
                      <a:ext cx="5852160" cy="2345472"/>
                    </a:xfrm>
                    <a:prstGeom prst="rect"/>
                  </pic:spPr>
                </pic:pic>
              </a:graphicData>
            </a:graphic>
          </wp:inline>
        </w:drawing>
      </w:r>
    </w:p>
    <w:p>
      <w:pPr>
        <w:spacing w:after="160"/>
        <w:jc w:val="center"/>
      </w:pPr>
      <w:r>
        <w:rPr>
          <w:i/>
          <w:color w:val="555555"/>
          <w:sz w:val="17"/>
        </w:rPr>
        <w:t>Distribution (left) and CDF (right) of the maximum lateral displacement of the VV centre from the gravitational centre, over 5000 randomly-drawn assemblies. The nominal (centred-assembly) value is 1.55 mm; offset assemblies can reach further from the centre because the polytope is shifted off-axis.</w:t>
      </w:r>
    </w:p>
    <w:tbl>
      <w:tblPr>
        <w:tblW w:type="auto" w:w="0"/>
        <w:jc w:val="center"/>
        <w:tblLook w:firstColumn="1" w:firstRow="1" w:lastColumn="0" w:lastRow="0" w:noHBand="0" w:noVBand="1" w:val="04A0"/>
      </w:tblPr>
      <w:tblGrid>
        <w:gridCol w:w="4320"/>
        <w:gridCol w:w="4320"/>
      </w:tblGrid>
      <w:tr>
        <w:tc>
          <w:tcPr>
            <w:tcW w:type="dxa" w:w="4320"/>
            <w:tcBorders>
              <w:top w:val="single" w:sz="8" w:color="888888"/>
              <w:bottom w:val="single" w:sz="6" w:color="888888"/>
              <w:left w:val="nil"/>
              <w:right w:val="nil"/>
            </w:tcBorders>
          </w:tcPr>
          <w:p>
            <w:pPr>
              <w:spacing w:before="0" w:after="40"/>
            </w:pPr>
            <w:r>
              <w:rPr>
                <w:b/>
                <w:color w:val="1A3A6E"/>
                <w:sz w:val="20"/>
              </w:rPr>
              <w:t>Statistic</w:t>
            </w:r>
          </w:p>
        </w:tc>
        <w:tc>
          <w:tcPr>
            <w:tcW w:type="dxa" w:w="4320"/>
            <w:tcBorders>
              <w:top w:val="single" w:sz="8" w:color="888888"/>
              <w:bottom w:val="single" w:sz="6" w:color="888888"/>
              <w:left w:val="nil"/>
              <w:right w:val="nil"/>
            </w:tcBorders>
          </w:tcPr>
          <w:p>
            <w:pPr>
              <w:spacing w:before="0" w:after="40"/>
            </w:pPr>
            <w:r>
              <w:rPr>
                <w:b/>
                <w:color w:val="1A3A6E"/>
                <w:sz w:val="20"/>
              </w:rPr>
              <w:t>Max lateral displacement (mm)</w:t>
            </w:r>
          </w:p>
        </w:tc>
      </w:tr>
      <w:tr>
        <w:tc>
          <w:tcPr>
            <w:tcW w:type="dxa" w:w="4320"/>
            <w:tcBorders>
              <w:top w:val="nil"/>
              <w:bottom w:val="nil"/>
              <w:left w:val="nil"/>
              <w:right w:val="nil"/>
            </w:tcBorders>
          </w:tcPr>
          <w:p>
            <w:pPr>
              <w:spacing w:before="0" w:after="40"/>
            </w:pPr>
            <w:r>
              <w:rPr>
                <w:b/>
                <w:sz w:val="20"/>
              </w:rPr>
              <w:t>Nominal (u = 0) — symmetric envelope half-width</w:t>
            </w:r>
          </w:p>
        </w:tc>
        <w:tc>
          <w:tcPr>
            <w:tcW w:type="dxa" w:w="4320"/>
            <w:tcBorders>
              <w:top w:val="nil"/>
              <w:bottom w:val="nil"/>
              <w:left w:val="nil"/>
              <w:right w:val="nil"/>
            </w:tcBorders>
          </w:tcPr>
          <w:p>
            <w:pPr>
              <w:spacing w:before="0" w:after="40"/>
            </w:pPr>
            <w:r>
              <w:rPr>
                <w:sz w:val="20"/>
              </w:rPr>
              <w:t>1.55</w:t>
            </w:r>
          </w:p>
        </w:tc>
      </w:tr>
      <w:tr>
        <w:tc>
          <w:tcPr>
            <w:tcW w:type="dxa" w:w="4320"/>
            <w:tcBorders>
              <w:top w:val="nil"/>
              <w:bottom w:val="nil"/>
              <w:left w:val="nil"/>
              <w:right w:val="nil"/>
            </w:tcBorders>
          </w:tcPr>
          <w:p>
            <w:pPr>
              <w:spacing w:before="0" w:after="40"/>
            </w:pPr>
            <w:r>
              <w:rPr>
                <w:b/>
                <w:sz w:val="20"/>
              </w:rPr>
              <w:t>Mode</w:t>
            </w:r>
          </w:p>
        </w:tc>
        <w:tc>
          <w:tcPr>
            <w:tcW w:type="dxa" w:w="4320"/>
            <w:tcBorders>
              <w:top w:val="nil"/>
              <w:bottom w:val="nil"/>
              <w:left w:val="nil"/>
              <w:right w:val="nil"/>
            </w:tcBorders>
          </w:tcPr>
          <w:p>
            <w:pPr>
              <w:spacing w:before="0" w:after="40"/>
            </w:pPr>
            <w:r>
              <w:rPr>
                <w:sz w:val="20"/>
              </w:rPr>
              <w:t>1.49</w:t>
            </w:r>
          </w:p>
        </w:tc>
      </w:tr>
      <w:tr>
        <w:tc>
          <w:tcPr>
            <w:tcW w:type="dxa" w:w="4320"/>
            <w:tcBorders>
              <w:top w:val="nil"/>
              <w:bottom w:val="nil"/>
              <w:left w:val="nil"/>
              <w:right w:val="nil"/>
            </w:tcBorders>
          </w:tcPr>
          <w:p>
            <w:pPr>
              <w:spacing w:before="0" w:after="40"/>
            </w:pPr>
            <w:r>
              <w:rPr>
                <w:b/>
                <w:sz w:val="20"/>
              </w:rPr>
              <w:t>Median (P50)</w:t>
            </w:r>
          </w:p>
        </w:tc>
        <w:tc>
          <w:tcPr>
            <w:tcW w:type="dxa" w:w="4320"/>
            <w:tcBorders>
              <w:top w:val="nil"/>
              <w:bottom w:val="nil"/>
              <w:left w:val="nil"/>
              <w:right w:val="nil"/>
            </w:tcBorders>
          </w:tcPr>
          <w:p>
            <w:pPr>
              <w:spacing w:before="0" w:after="40"/>
            </w:pPr>
            <w:r>
              <w:rPr>
                <w:sz w:val="20"/>
              </w:rPr>
              <w:t>1.53</w:t>
            </w:r>
          </w:p>
        </w:tc>
      </w:tr>
      <w:tr>
        <w:tc>
          <w:tcPr>
            <w:tcW w:type="dxa" w:w="4320"/>
            <w:tcBorders>
              <w:top w:val="nil"/>
              <w:bottom w:val="nil"/>
              <w:left w:val="nil"/>
              <w:right w:val="nil"/>
            </w:tcBorders>
          </w:tcPr>
          <w:p>
            <w:pPr>
              <w:spacing w:before="0" w:after="40"/>
            </w:pPr>
            <w:r>
              <w:rPr>
                <w:b/>
                <w:sz w:val="20"/>
              </w:rPr>
              <w:t>P90</w:t>
            </w:r>
          </w:p>
        </w:tc>
        <w:tc>
          <w:tcPr>
            <w:tcW w:type="dxa" w:w="4320"/>
            <w:tcBorders>
              <w:top w:val="nil"/>
              <w:bottom w:val="nil"/>
              <w:left w:val="nil"/>
              <w:right w:val="nil"/>
            </w:tcBorders>
          </w:tcPr>
          <w:p>
            <w:pPr>
              <w:spacing w:before="0" w:after="40"/>
            </w:pPr>
            <w:r>
              <w:rPr>
                <w:sz w:val="20"/>
              </w:rPr>
              <w:t>2.12</w:t>
            </w:r>
          </w:p>
        </w:tc>
      </w:tr>
      <w:tr>
        <w:tc>
          <w:tcPr>
            <w:tcW w:type="dxa" w:w="4320"/>
            <w:tcBorders>
              <w:top w:val="nil"/>
              <w:bottom w:val="nil"/>
              <w:left w:val="nil"/>
              <w:right w:val="nil"/>
            </w:tcBorders>
          </w:tcPr>
          <w:p>
            <w:pPr>
              <w:spacing w:before="0" w:after="40"/>
            </w:pPr>
            <w:r>
              <w:rPr>
                <w:b/>
                <w:sz w:val="20"/>
              </w:rPr>
              <w:t>P95</w:t>
            </w:r>
          </w:p>
        </w:tc>
        <w:tc>
          <w:tcPr>
            <w:tcW w:type="dxa" w:w="4320"/>
            <w:tcBorders>
              <w:top w:val="nil"/>
              <w:bottom w:val="nil"/>
              <w:left w:val="nil"/>
              <w:right w:val="nil"/>
            </w:tcBorders>
          </w:tcPr>
          <w:p>
            <w:pPr>
              <w:spacing w:before="0" w:after="40"/>
            </w:pPr>
            <w:r>
              <w:rPr>
                <w:sz w:val="20"/>
              </w:rPr>
              <w:t>2.27</w:t>
            </w:r>
          </w:p>
        </w:tc>
      </w:tr>
      <w:tr>
        <w:tc>
          <w:tcPr>
            <w:tcW w:type="dxa" w:w="4320"/>
            <w:tcBorders>
              <w:top w:val="nil"/>
              <w:bottom w:val="nil"/>
              <w:left w:val="nil"/>
              <w:right w:val="nil"/>
            </w:tcBorders>
          </w:tcPr>
          <w:p>
            <w:pPr>
              <w:spacing w:before="0" w:after="40"/>
            </w:pPr>
            <w:r>
              <w:rPr>
                <w:b/>
                <w:sz w:val="20"/>
              </w:rPr>
              <w:t>P99</w:t>
            </w:r>
          </w:p>
        </w:tc>
        <w:tc>
          <w:tcPr>
            <w:tcW w:type="dxa" w:w="4320"/>
            <w:tcBorders>
              <w:top w:val="nil"/>
              <w:bottom w:val="nil"/>
              <w:left w:val="nil"/>
              <w:right w:val="nil"/>
            </w:tcBorders>
          </w:tcPr>
          <w:p>
            <w:pPr>
              <w:spacing w:before="0" w:after="40"/>
            </w:pPr>
            <w:r>
              <w:rPr>
                <w:sz w:val="20"/>
              </w:rPr>
              <w:t>2.53</w:t>
            </w:r>
          </w:p>
        </w:tc>
      </w:tr>
      <w:tr>
        <w:tc>
          <w:tcPr>
            <w:tcW w:type="dxa" w:w="4320"/>
            <w:tcBorders>
              <w:top w:val="nil"/>
              <w:bottom w:val="single" w:sz="8" w:color="888888"/>
              <w:left w:val="nil"/>
              <w:right w:val="nil"/>
            </w:tcBorders>
          </w:tcPr>
          <w:p>
            <w:pPr>
              <w:spacing w:before="0" w:after="40"/>
            </w:pPr>
            <w:r>
              <w:rPr>
                <w:b/>
                <w:sz w:val="20"/>
              </w:rPr>
              <w:t>Max observed (n = 5000)</w:t>
            </w:r>
          </w:p>
        </w:tc>
        <w:tc>
          <w:tcPr>
            <w:tcW w:type="dxa" w:w="4320"/>
            <w:tcBorders>
              <w:top w:val="nil"/>
              <w:bottom w:val="single" w:sz="8" w:color="888888"/>
              <w:left w:val="nil"/>
              <w:right w:val="nil"/>
            </w:tcBorders>
          </w:tcPr>
          <w:p>
            <w:pPr>
              <w:spacing w:before="0" w:after="40"/>
            </w:pPr>
            <w:r>
              <w:rPr>
                <w:sz w:val="20"/>
              </w:rPr>
              <w:t>2.98</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fill="fff8e0"/>
            <w:tcBorders>
              <w:left w:val="single" w:sz="24" w:color="cc8800"/>
            </w:tcBorders>
            <w:tcBorders>
              <w:top w:val="single" w:sz="4" w:color="fff8e0"/>
              <w:bottom w:val="single" w:sz="4" w:color="fff8e0"/>
              <w:right w:val="single" w:sz="4" w:color="fff8e0"/>
            </w:tcBorders>
          </w:tcPr>
          <w:p>
            <w:pPr>
              <w:spacing w:before="0" w:after="40"/>
            </w:pPr>
            <w:r>
              <w:rPr>
                <w:b/>
                <w:color w:val="CC8800"/>
              </w:rPr>
              <w:t xml:space="preserve">Reliability caveat — read the percentiles with caution.  </w:t>
            </w:r>
            <w:r>
              <w:rPr>
                <w:b w:val="0"/>
                <w:sz w:val="20"/>
              </w:rPr>
              <w:t>The Monte-Carlo percentiles above are only as trustworthy as the assumed input distribution. We drew each support offset from Uniform(−1.5 mm, +1.5 mm) independently, but neither the uniform shape nor the ±1.5 mm range is validated — the as-built gaps are set by assembly history, not by a known random process. The P95/P99 figures therefore carry low confidence and are illustrative. What does not depend on the distribution are (i) the nominal centred envelope (1.55 mm), (ii) the polytope-width ceiling (§9), and (iii) the stiction-vs-centring force comparison (§10). The recommendation (§12) is to measure the nine gaps with feeler gauges rather than propagate an unvalidated prior.</w:t>
            </w:r>
          </w:p>
        </w:tc>
      </w:tr>
    </w:tbl>
    <w:p>
      <w:pPr>
        <w:spacing w:after="40"/>
      </w:pPr>
    </w:p>
    <w:p>
      <w:pPr>
        <w:spacing w:before="320" w:after="80"/>
        <w:pBdr>
          <w:bottom w:val="single" w:sz="6" w:space="2" w:color="2b5797"/>
        </w:pBdr>
      </w:pPr>
      <w:r>
        <w:rPr>
          <w:b/>
          <w:color w:val="2B5797"/>
          <w:sz w:val="28"/>
        </w:rPr>
        <w:t>6 — Effect of Gap Measurements</w:t>
      </w:r>
    </w:p>
    <w:p>
      <w:pPr>
        <w:spacing w:after="120"/>
      </w:pPr>
      <w:r>
        <w:rPr>
          <w:b w:val="0"/>
          <w:sz w:val="21"/>
        </w:rPr>
        <w:t xml:space="preserve">Each measured gap fixes one u_i to its true value. Because the polytope's offset from the gravitational centre is governed by the assembly offsets, </w:t>
      </w:r>
      <w:r>
        <w:rPr>
          <w:b/>
          <w:sz w:val="21"/>
        </w:rPr>
        <w:t>every measured gap directly tightens the conditional displacement bound</w:t>
      </w:r>
      <w:r>
        <w:rPr>
          <w:b w:val="0"/>
          <w:sz w:val="21"/>
        </w:rPr>
        <w:t>: each measurement pulls the polytope toward the centre. With all 9 measured and found near-centred, the conditional maximum displacement collapses to the 1.55 mm nominal envelope.</w:t>
      </w:r>
    </w:p>
    <w:p>
      <w:pPr>
        <w:jc w:val="center"/>
      </w:pPr>
      <w:r>
        <w:drawing>
          <wp:inline xmlns:a="http://schemas.openxmlformats.org/drawingml/2006/main" xmlns:pic="http://schemas.openxmlformats.org/drawingml/2006/picture">
            <wp:extent cx="5852160" cy="2316925"/>
            <wp:docPr id="6" name="Picture 6"/>
            <wp:cNvGraphicFramePr>
              <a:graphicFrameLocks noChangeAspect="1"/>
            </wp:cNvGraphicFramePr>
            <a:graphic>
              <a:graphicData uri="http://schemas.openxmlformats.org/drawingml/2006/picture">
                <pic:pic>
                  <pic:nvPicPr>
                    <pic:cNvPr id="0" name="partial_measurement.png"/>
                    <pic:cNvPicPr/>
                  </pic:nvPicPr>
                  <pic:blipFill>
                    <a:blip r:embed="rId14"/>
                    <a:stretch>
                      <a:fillRect/>
                    </a:stretch>
                  </pic:blipFill>
                  <pic:spPr>
                    <a:xfrm>
                      <a:off x="0" y="0"/>
                      <a:ext cx="5852160" cy="2316925"/>
                    </a:xfrm>
                    <a:prstGeom prst="rect"/>
                  </pic:spPr>
                </pic:pic>
              </a:graphicData>
            </a:graphic>
          </wp:inline>
        </w:drawing>
      </w:r>
    </w:p>
    <w:p>
      <w:pPr>
        <w:spacing w:after="160"/>
        <w:jc w:val="center"/>
      </w:pPr>
      <w:r>
        <w:rPr>
          <w:i/>
          <w:color w:val="555555"/>
          <w:sz w:val="17"/>
        </w:rPr>
        <w:t>Left — distribution of the maximum lateral displacement; measuring all 9 gaps reveals one value from this distribution. Right — conditional P95 vs number of measured sectors, for two scenarios of the measured values: centred (lowest residual bound) and typical random (mid-range). Because AᵀA is exactly diagonal the three rigid-body DOFs are uncorrelated, so only the number of measured sectors matters; adjacent vs spread-out is statistically identical.</w:t>
      </w:r>
    </w:p>
    <w:tbl>
      <w:tblPr>
        <w:tblW w:type="auto" w:w="0"/>
        <w:jc w:val="center"/>
        <w:tblLook w:firstColumn="1" w:firstRow="1" w:lastColumn="0" w:lastRow="0" w:noHBand="0" w:noVBand="1" w:val="04A0"/>
      </w:tblPr>
      <w:tblGrid>
        <w:gridCol w:w="2880"/>
        <w:gridCol w:w="2880"/>
        <w:gridCol w:w="2880"/>
      </w:tblGrid>
      <w:tr>
        <w:tc>
          <w:tcPr>
            <w:tcW w:type="dxa" w:w="2880"/>
            <w:tcBorders>
              <w:top w:val="single" w:sz="8" w:color="888888"/>
              <w:bottom w:val="single" w:sz="6" w:color="888888"/>
              <w:left w:val="nil"/>
              <w:right w:val="nil"/>
            </w:tcBorders>
          </w:tcPr>
          <w:p>
            <w:pPr>
              <w:spacing w:before="0" w:after="40"/>
            </w:pPr>
            <w:r>
              <w:rPr>
                <w:b/>
                <w:color w:val="1A3A6E"/>
                <w:sz w:val="20"/>
              </w:rPr>
              <w:t>Measured sectors (k of 9)</w:t>
            </w:r>
          </w:p>
        </w:tc>
        <w:tc>
          <w:tcPr>
            <w:tcW w:type="dxa" w:w="2880"/>
            <w:tcBorders>
              <w:top w:val="single" w:sz="8" w:color="888888"/>
              <w:bottom w:val="single" w:sz="6" w:color="888888"/>
              <w:left w:val="nil"/>
              <w:right w:val="nil"/>
            </w:tcBorders>
          </w:tcPr>
          <w:p>
            <w:pPr>
              <w:spacing w:before="0" w:after="40"/>
            </w:pPr>
            <w:r>
              <w:rPr>
                <w:b/>
                <w:color w:val="1A3A6E"/>
                <w:sz w:val="20"/>
              </w:rPr>
              <w:t>P95 — centred (mm)</w:t>
            </w:r>
          </w:p>
        </w:tc>
        <w:tc>
          <w:tcPr>
            <w:tcW w:type="dxa" w:w="2880"/>
            <w:tcBorders>
              <w:top w:val="single" w:sz="8" w:color="888888"/>
              <w:bottom w:val="single" w:sz="6" w:color="888888"/>
              <w:left w:val="nil"/>
              <w:right w:val="nil"/>
            </w:tcBorders>
          </w:tcPr>
          <w:p>
            <w:pPr>
              <w:spacing w:before="0" w:after="40"/>
            </w:pPr>
            <w:r>
              <w:rPr>
                <w:b/>
                <w:color w:val="1A3A6E"/>
                <w:sz w:val="20"/>
              </w:rPr>
              <w:t>P95 — typical (mm)</w:t>
            </w:r>
          </w:p>
        </w:tc>
      </w:tr>
      <w:tr>
        <w:tc>
          <w:tcPr>
            <w:tcW w:type="dxa" w:w="2880"/>
            <w:tcBorders>
              <w:top w:val="nil"/>
              <w:bottom w:val="nil"/>
              <w:left w:val="nil"/>
              <w:right w:val="nil"/>
            </w:tcBorders>
          </w:tcPr>
          <w:p>
            <w:pPr>
              <w:spacing w:before="0" w:after="40"/>
            </w:pPr>
            <w:r>
              <w:rPr>
                <w:b/>
                <w:sz w:val="20"/>
              </w:rPr>
              <w:t>0 (baseline)</w:t>
            </w:r>
          </w:p>
        </w:tc>
        <w:tc>
          <w:tcPr>
            <w:tcW w:type="dxa" w:w="2880"/>
            <w:tcBorders>
              <w:top w:val="nil"/>
              <w:bottom w:val="nil"/>
              <w:left w:val="nil"/>
              <w:right w:val="nil"/>
            </w:tcBorders>
          </w:tcPr>
          <w:p>
            <w:pPr>
              <w:spacing w:before="0" w:after="40"/>
            </w:pPr>
            <w:r>
              <w:rPr>
                <w:sz w:val="20"/>
              </w:rPr>
              <w:t>2.27</w:t>
            </w:r>
          </w:p>
        </w:tc>
        <w:tc>
          <w:tcPr>
            <w:tcW w:type="dxa" w:w="2880"/>
            <w:tcBorders>
              <w:top w:val="nil"/>
              <w:bottom w:val="nil"/>
              <w:left w:val="nil"/>
              <w:right w:val="nil"/>
            </w:tcBorders>
          </w:tcPr>
          <w:p>
            <w:pPr>
              <w:spacing w:before="0" w:after="40"/>
            </w:pPr>
            <w:r>
              <w:rPr>
                <w:sz w:val="20"/>
              </w:rPr>
              <w:t>2.27</w:t>
            </w:r>
          </w:p>
        </w:tc>
      </w:tr>
      <w:tr>
        <w:tc>
          <w:tcPr>
            <w:tcW w:type="dxa" w:w="2880"/>
            <w:tcBorders>
              <w:top w:val="nil"/>
              <w:bottom w:val="nil"/>
              <w:left w:val="nil"/>
              <w:right w:val="nil"/>
            </w:tcBorders>
          </w:tcPr>
          <w:p>
            <w:pPr>
              <w:spacing w:before="0" w:after="40"/>
            </w:pPr>
            <w:r>
              <w:rPr>
                <w:b/>
                <w:sz w:val="20"/>
              </w:rPr>
              <w:t>1</w:t>
            </w:r>
          </w:p>
        </w:tc>
        <w:tc>
          <w:tcPr>
            <w:tcW w:type="dxa" w:w="2880"/>
            <w:tcBorders>
              <w:top w:val="nil"/>
              <w:bottom w:val="nil"/>
              <w:left w:val="nil"/>
              <w:right w:val="nil"/>
            </w:tcBorders>
          </w:tcPr>
          <w:p>
            <w:pPr>
              <w:spacing w:before="0" w:after="40"/>
            </w:pPr>
            <w:r>
              <w:rPr>
                <w:sz w:val="20"/>
              </w:rPr>
              <w:t>≈ 2.26</w:t>
            </w:r>
          </w:p>
        </w:tc>
        <w:tc>
          <w:tcPr>
            <w:tcW w:type="dxa" w:w="2880"/>
            <w:tcBorders>
              <w:top w:val="nil"/>
              <w:bottom w:val="nil"/>
              <w:left w:val="nil"/>
              <w:right w:val="nil"/>
            </w:tcBorders>
          </w:tcPr>
          <w:p>
            <w:pPr>
              <w:spacing w:before="0" w:after="40"/>
            </w:pPr>
            <w:r>
              <w:rPr>
                <w:sz w:val="20"/>
              </w:rPr>
              <w:t>≈ 2.26</w:t>
            </w:r>
          </w:p>
        </w:tc>
      </w:tr>
      <w:tr>
        <w:tc>
          <w:tcPr>
            <w:tcW w:type="dxa" w:w="2880"/>
            <w:tcBorders>
              <w:top w:val="nil"/>
              <w:bottom w:val="nil"/>
              <w:left w:val="nil"/>
              <w:right w:val="nil"/>
            </w:tcBorders>
          </w:tcPr>
          <w:p>
            <w:pPr>
              <w:spacing w:before="0" w:after="40"/>
            </w:pPr>
            <w:r>
              <w:rPr>
                <w:b/>
                <w:sz w:val="20"/>
              </w:rPr>
              <w:t>3</w:t>
            </w:r>
          </w:p>
        </w:tc>
        <w:tc>
          <w:tcPr>
            <w:tcW w:type="dxa" w:w="2880"/>
            <w:tcBorders>
              <w:top w:val="nil"/>
              <w:bottom w:val="nil"/>
              <w:left w:val="nil"/>
              <w:right w:val="nil"/>
            </w:tcBorders>
          </w:tcPr>
          <w:p>
            <w:pPr>
              <w:spacing w:before="0" w:after="40"/>
            </w:pPr>
            <w:r>
              <w:rPr>
                <w:sz w:val="20"/>
              </w:rPr>
              <w:t>≈ 2.19</w:t>
            </w:r>
          </w:p>
        </w:tc>
        <w:tc>
          <w:tcPr>
            <w:tcW w:type="dxa" w:w="2880"/>
            <w:tcBorders>
              <w:top w:val="nil"/>
              <w:bottom w:val="nil"/>
              <w:left w:val="nil"/>
              <w:right w:val="nil"/>
            </w:tcBorders>
          </w:tcPr>
          <w:p>
            <w:pPr>
              <w:spacing w:before="0" w:after="40"/>
            </w:pPr>
            <w:r>
              <w:rPr>
                <w:sz w:val="20"/>
              </w:rPr>
              <w:t>≈ 2.22</w:t>
            </w:r>
          </w:p>
        </w:tc>
      </w:tr>
      <w:tr>
        <w:tc>
          <w:tcPr>
            <w:tcW w:type="dxa" w:w="2880"/>
            <w:tcBorders>
              <w:top w:val="nil"/>
              <w:bottom w:val="nil"/>
              <w:left w:val="nil"/>
              <w:right w:val="nil"/>
            </w:tcBorders>
          </w:tcPr>
          <w:p>
            <w:pPr>
              <w:spacing w:before="0" w:after="40"/>
            </w:pPr>
            <w:r>
              <w:rPr>
                <w:b/>
                <w:sz w:val="20"/>
              </w:rPr>
              <w:t>5</w:t>
            </w:r>
          </w:p>
        </w:tc>
        <w:tc>
          <w:tcPr>
            <w:tcW w:type="dxa" w:w="2880"/>
            <w:tcBorders>
              <w:top w:val="nil"/>
              <w:bottom w:val="nil"/>
              <w:left w:val="nil"/>
              <w:right w:val="nil"/>
            </w:tcBorders>
          </w:tcPr>
          <w:p>
            <w:pPr>
              <w:spacing w:before="0" w:after="40"/>
            </w:pPr>
            <w:r>
              <w:rPr>
                <w:sz w:val="20"/>
              </w:rPr>
              <w:t>≈ 2.05</w:t>
            </w:r>
          </w:p>
        </w:tc>
        <w:tc>
          <w:tcPr>
            <w:tcW w:type="dxa" w:w="2880"/>
            <w:tcBorders>
              <w:top w:val="nil"/>
              <w:bottom w:val="nil"/>
              <w:left w:val="nil"/>
              <w:right w:val="nil"/>
            </w:tcBorders>
          </w:tcPr>
          <w:p>
            <w:pPr>
              <w:spacing w:before="0" w:after="40"/>
            </w:pPr>
            <w:r>
              <w:rPr>
                <w:sz w:val="20"/>
              </w:rPr>
              <w:t>≈ 2.00</w:t>
            </w:r>
          </w:p>
        </w:tc>
      </w:tr>
      <w:tr>
        <w:tc>
          <w:tcPr>
            <w:tcW w:type="dxa" w:w="2880"/>
            <w:tcBorders>
              <w:top w:val="nil"/>
              <w:bottom w:val="single" w:sz="8" w:color="888888"/>
              <w:left w:val="nil"/>
              <w:right w:val="nil"/>
            </w:tcBorders>
          </w:tcPr>
          <w:p>
            <w:pPr>
              <w:spacing w:before="0" w:after="40"/>
            </w:pPr>
            <w:r>
              <w:rPr>
                <w:b/>
                <w:sz w:val="20"/>
              </w:rPr>
              <w:t>9 (all)</w:t>
            </w:r>
          </w:p>
        </w:tc>
        <w:tc>
          <w:tcPr>
            <w:tcW w:type="dxa" w:w="2880"/>
            <w:tcBorders>
              <w:top w:val="nil"/>
              <w:bottom w:val="single" w:sz="8" w:color="888888"/>
              <w:left w:val="nil"/>
              <w:right w:val="nil"/>
            </w:tcBorders>
          </w:tcPr>
          <w:p>
            <w:pPr>
              <w:spacing w:before="0" w:after="40"/>
            </w:pPr>
            <w:r>
              <w:rPr>
                <w:sz w:val="20"/>
              </w:rPr>
              <w:t>→ 1.55 (nominal env.)</w:t>
            </w:r>
          </w:p>
        </w:tc>
        <w:tc>
          <w:tcPr>
            <w:tcW w:type="dxa" w:w="2880"/>
            <w:tcBorders>
              <w:top w:val="nil"/>
              <w:bottom w:val="single" w:sz="8" w:color="888888"/>
              <w:left w:val="nil"/>
              <w:right w:val="nil"/>
            </w:tcBorders>
          </w:tcPr>
          <w:p>
            <w:pPr>
              <w:spacing w:before="0" w:after="40"/>
            </w:pPr>
            <w:r>
              <w:rPr>
                <w:sz w:val="20"/>
              </w:rPr>
              <w:t>deterministic</w:t>
            </w:r>
          </w:p>
        </w:tc>
      </w:tr>
    </w:tbl>
    <w:p>
      <w:pPr>
        <w:spacing w:after="80"/>
      </w:pPr>
    </w:p>
    <w:p>
      <w:pPr>
        <w:spacing w:before="320" w:after="80"/>
        <w:pBdr>
          <w:bottom w:val="single" w:sz="6" w:space="2" w:color="2b5797"/>
        </w:pBdr>
      </w:pPr>
      <w:r>
        <w:rPr>
          <w:b/>
          <w:color w:val="2B5797"/>
          <w:sz w:val="28"/>
        </w:rPr>
        <w:t>7 — Start-Up Lateral Loads: Passive Self-Alignment</w:t>
      </w:r>
    </w:p>
    <w:p>
      <w:pPr>
        <w:spacing w:after="120"/>
      </w:pPr>
      <w:r>
        <w:rPr>
          <w:b w:val="0"/>
          <w:sz w:val="21"/>
        </w:rPr>
        <w:t>During plasma current ramp-up (0 → ~3 MA over ~10 s), the time-changing plasma current induces image currents in the vessel. These currents interact with the toroidal-field asymmetry produced by TF vault closure tolerances (a long-wavelength n ≤ 4 perturbation) to produce a lateral n = 1 force on the vessel.</w:t>
      </w:r>
    </w:p>
    <w:tbl>
      <w:tblPr>
        <w:tblW w:type="auto" w:w="0"/>
        <w:jc w:val="center"/>
        <w:tblLook w:firstColumn="1" w:firstRow="1" w:lastColumn="0" w:lastRow="0" w:noHBand="0" w:noVBand="1" w:val="04A0"/>
      </w:tblPr>
      <w:tblGrid>
        <w:gridCol w:w="8640"/>
      </w:tblGrid>
      <w:tr>
        <w:tc>
          <w:tcPr>
            <w:tcW w:type="dxa" w:w="8640"/>
            <w:shd w:val="clear" w:fill="fff0ee"/>
            <w:tcBorders>
              <w:left w:val="single" w:sz="24" w:color="cc2200"/>
            </w:tcBorders>
            <w:tcBorders>
              <w:top w:val="single" w:sz="4" w:color="fff0ee"/>
              <w:bottom w:val="single" w:sz="4" w:color="fff0ee"/>
              <w:right w:val="single" w:sz="4" w:color="fff0ee"/>
            </w:tcBorders>
          </w:tcPr>
          <w:p>
            <w:pPr>
              <w:spacing w:before="0" w:after="40"/>
            </w:pPr>
            <w:r>
              <w:rPr>
                <w:b/>
                <w:color w:val="CC2200"/>
              </w:rPr>
              <w:t xml:space="preserve">Important: the start-up displacement direction is favourable.  </w:t>
            </w:r>
            <w:r>
              <w:rPr>
                <w:b w:val="0"/>
                <w:sz w:val="20"/>
              </w:rPr>
              <w:t xml:space="preserve">The lateral force on the induced vessel current is such that the vessel is pulled </w:t>
            </w:r>
            <w:r>
              <w:rPr>
                <w:b/>
                <w:sz w:val="20"/>
              </w:rPr>
              <w:t>toward</w:t>
            </w:r>
            <w:r>
              <w:rPr>
                <w:b w:val="0"/>
                <w:sz w:val="20"/>
              </w:rPr>
              <w:t xml:space="preserve"> the n = 1 magnetic axis of the (offset) toroidal field — passive vessel currents act to </w:t>
            </w:r>
            <w:r>
              <w:rPr>
                <w:b/>
                <w:sz w:val="20"/>
              </w:rPr>
              <w:t>self-align</w:t>
            </w:r>
            <w:r>
              <w:rPr>
                <w:b w:val="0"/>
                <w:sz w:val="20"/>
              </w:rPr>
              <w:t xml:space="preserve"> the wall with the field profile. </w:t>
            </w:r>
            <w:r>
              <w:rPr>
                <w:b/>
                <w:sz w:val="20"/>
              </w:rPr>
              <w:t>Any vessel motion during the ramp therefore reduces the peak-to-peak misalignment between the n ≤ 4 first-wall and toroidal-field profiles</w:t>
            </w:r>
            <w:r>
              <w:rPr>
                <w:b w:val="0"/>
                <w:sz w:val="20"/>
              </w:rPr>
              <w:t>; it consumes none of the 6 mm budget, and in fact frees some of it back. The start-up ramp is a budget-relieving event for the n = 1 first-wall criterion, not a budget-eroding one.</w:t>
            </w:r>
          </w:p>
        </w:tc>
      </w:tr>
    </w:tbl>
    <w:p>
      <w:pPr>
        <w:spacing w:after="40"/>
      </w:pPr>
    </w:p>
    <w:p>
      <w:pPr>
        <w:spacing w:before="200" w:after="40"/>
      </w:pPr>
      <w:r>
        <w:rPr>
          <w:b/>
          <w:color w:val="444444"/>
          <w:sz w:val="23"/>
        </w:rPr>
        <w:t>Force scale &amp; timescale</w:t>
      </w:r>
    </w:p>
    <w:p>
      <w:pPr>
        <w:spacing w:after="120"/>
      </w:pPr>
      <w:r>
        <w:rPr>
          <w:b w:val="0"/>
          <w:sz w:val="21"/>
        </w:rPr>
        <w:t xml:space="preserve">Order-of-magnitude: with vessel image current of O(10⁵ A) during the ramp, B_T ≈ 5 T, fractional n = 1 field error ε ~ 10⁻⁴–10⁻³, and a toroidal length scale ~ 2πR, the lateral force F_ramp ~ ε · I_vv · B_T · L is of order </w:t>
      </w:r>
      <w:r>
        <w:rPr>
          <w:b/>
          <w:sz w:val="21"/>
        </w:rPr>
        <w:t>1–10 kN</w:t>
      </w:r>
      <w:r>
        <w:rPr>
          <w:b w:val="0"/>
          <w:sz w:val="21"/>
        </w:rPr>
        <w:t xml:space="preserve">. This is comparable to the gravitational centring threshold F_stop ≈ 4.1 kN but is far below the ≈ 1 MN per-support toroidal breakaway force (§10): a kN-scale start-up force does not slide the supports at all. The ramp duration (10 s) is comparable to the pendulum natural period (T_n ≈ 11 s), so in the frictionless idealisation the quasi-static deflection F/K = 0.4–4 mm would appear as a peak transient excursion of order </w:t>
      </w:r>
      <w:r>
        <w:rPr>
          <w:b/>
          <w:sz w:val="21"/>
        </w:rPr>
        <w:t>1–4 mm</w:t>
      </w:r>
      <w:r>
        <w:rPr>
          <w:b w:val="0"/>
          <w:sz w:val="21"/>
        </w:rPr>
        <w:t xml:space="preserve"> in the favourable (self-aligning) direction. In the realistic stiction-dominated picture the start-up force is orders of magnitude below breakaway, so it produces no net lateral motion — it neither erodes nor relieves the budget kinematically. Either way this source is not budget-limiting; a detailed EM transient is required to pin the precise value.</w:t>
      </w:r>
    </w:p>
    <w:p>
      <w:pPr>
        <w:spacing w:before="320" w:after="80"/>
        <w:pBdr>
          <w:bottom w:val="single" w:sz="6" w:space="2" w:color="2b5797"/>
        </w:pBdr>
      </w:pPr>
      <w:r>
        <w:rPr>
          <w:b/>
          <w:color w:val="2B5797"/>
          <w:sz w:val="28"/>
        </w:rPr>
        <w:t>8 — Disruption Loads &amp; VVGS Impact Case</w:t>
      </w:r>
    </w:p>
    <w:p>
      <w:pPr>
        <w:spacing w:after="120"/>
      </w:pPr>
      <w:r>
        <w:rPr>
          <w:b w:val="0"/>
          <w:sz w:val="21"/>
        </w:rPr>
        <w:t xml:space="preserve">Disruptions and asymmetric vertical displacement events (VDEs) deliver the large lateral loads. </w:t>
      </w:r>
      <w:r>
        <w:rPr>
          <w:b/>
          <w:sz w:val="21"/>
        </w:rPr>
        <w:t>The bounding magnitudes and durations are defined in the ITER VV Load Specification (VVLS)</w:t>
      </w:r>
      <w:r>
        <w:rPr>
          <w:b w:val="0"/>
          <w:sz w:val="21"/>
        </w:rPr>
        <w:t xml:space="preserve"> and are substantially larger than the illustrative impulse used in an earlier draft of this note; the values below are order-of-magnitude only and should be taken from the VVLS for design.</w:t>
      </w:r>
    </w:p>
    <w:tbl>
      <w:tblPr>
        <w:tblW w:type="auto" w:w="0"/>
        <w:jc w:val="center"/>
        <w:tblLook w:firstColumn="1" w:firstRow="1" w:lastColumn="0" w:lastRow="0" w:noHBand="0" w:noVBand="1" w:val="04A0"/>
      </w:tblPr>
      <w:tblGrid>
        <w:gridCol w:w="8640"/>
      </w:tblGrid>
      <w:tr>
        <w:tc>
          <w:tcPr>
            <w:tcW w:type="dxa" w:w="8640"/>
            <w:shd w:val="clear" w:fill="fff8e0"/>
            <w:tcBorders>
              <w:left w:val="single" w:sz="24" w:color="cc8800"/>
            </w:tcBorders>
            <w:tcBorders>
              <w:top w:val="single" w:sz="4" w:color="fff8e0"/>
              <w:bottom w:val="single" w:sz="4" w:color="fff8e0"/>
              <w:right w:val="single" w:sz="4" w:color="fff8e0"/>
            </w:tcBorders>
          </w:tcPr>
          <w:p>
            <w:pPr>
              <w:spacing w:before="0" w:after="40"/>
            </w:pPr>
            <w:r>
              <w:rPr>
                <w:b/>
                <w:color w:val="CC8800"/>
              </w:rPr>
              <w:t xml:space="preserve">Correction.  </w:t>
            </w:r>
            <w:r>
              <w:rPr>
                <w:b w:val="0"/>
                <w:sz w:val="20"/>
              </w:rPr>
              <w:t>An earlier version quoted a lateral impulse J ~ 10⁵ N·s over ~10 ms (free-mass velocity ~12 mm/s). Both the magnitude and the duration are lower than the VVLS bounding values, so the resulting toroidal VVGS force was correspondingly under-stated. The VVLS net horizontal VV loads are of order MN to tens of MN.</w:t>
            </w:r>
          </w:p>
        </w:tc>
      </w:tr>
    </w:tbl>
    <w:p>
      <w:pPr>
        <w:spacing w:after="40"/>
      </w:pPr>
    </w:p>
    <w:p>
      <w:pPr>
        <w:spacing w:after="120"/>
      </w:pPr>
      <w:r>
        <w:rPr>
          <w:b w:val="0"/>
          <w:sz w:val="21"/>
        </w:rPr>
        <w:t>Two regimes follow from the friction analysis (§10), with breakaway ≈ 5.7 MN aggregate (≈ 1 MN per support):</w:t>
      </w:r>
    </w:p>
    <w:p>
      <w:pPr>
        <w:spacing w:after="120"/>
      </w:pPr>
      <w:r>
        <w:rPr>
          <w:b/>
          <w:sz w:val="21"/>
        </w:rPr>
        <w:t xml:space="preserve">• Small / illustrative impulse (below breakaway). </w:t>
      </w:r>
      <w:r>
        <w:rPr>
          <w:b w:val="0"/>
          <w:sz w:val="21"/>
        </w:rPr>
        <w:t>The earlier J ~ 10⁵ N·s carries kinetic energy ½Mv² ≈ 0.56 kJ (M ≈ 9000 t). The friction work over a full 3 mm slide is ≈ 5.7 MN × 3 mm ≈ 17 kJ ≫ 0.56 kJ, so such an impulse would move the vessel only ~0.1 mm before stiction arrests it — there is no free-flight impact on the stops, contrary to the earlier free-mass picture.</w:t>
      </w:r>
    </w:p>
    <w:p>
      <w:pPr>
        <w:spacing w:after="120"/>
      </w:pPr>
      <w:r>
        <w:rPr>
          <w:b/>
          <w:sz w:val="21"/>
        </w:rPr>
        <w:t xml:space="preserve">• VVLS bounding loads (above breakaway). </w:t>
      </w:r>
      <w:r>
        <w:rPr>
          <w:b w:val="0"/>
          <w:sz w:val="21"/>
        </w:rPr>
        <w:t>Net horizontal loads of MN-to-tens-of-MN exceed the ≈ 5.7 MN breakaway, so the vessel does slide during major events. Each event displaces it by an amount set by the load, the impulse and the remaining slot; the displacement is retained (gravity cannot pull it back, §10). Repeated events make the vessel ratchet within the polytope (§9–§10).</w:t>
      </w:r>
    </w:p>
    <w:tbl>
      <w:tblPr>
        <w:tblW w:type="auto" w:w="0"/>
        <w:jc w:val="center"/>
        <w:tblLook w:firstColumn="1" w:firstRow="1" w:lastColumn="0" w:lastRow="0" w:noHBand="0" w:noVBand="1" w:val="04A0"/>
      </w:tblPr>
      <w:tblGrid>
        <w:gridCol w:w="8640"/>
      </w:tblGrid>
      <w:tr>
        <w:tc>
          <w:tcPr>
            <w:tcW w:type="dxa" w:w="8640"/>
            <w:shd w:val="clear" w:fill="fff0ee"/>
            <w:tcBorders>
              <w:left w:val="single" w:sz="24" w:color="cc2200"/>
            </w:tcBorders>
            <w:tcBorders>
              <w:top w:val="single" w:sz="4" w:color="fff0ee"/>
              <w:bottom w:val="single" w:sz="4" w:color="fff0ee"/>
              <w:right w:val="single" w:sz="4" w:color="fff0ee"/>
            </w:tcBorders>
          </w:tcPr>
          <w:p>
            <w:pPr>
              <w:spacing w:before="0" w:after="40"/>
            </w:pPr>
            <w:r>
              <w:rPr>
                <w:b/>
                <w:color w:val="CC2200"/>
              </w:rPr>
              <w:t xml:space="preserve">The disruption/VDE toroidal force is the bounding VVGS lateral load case  </w:t>
            </w:r>
            <w:r>
              <w:rPr>
                <w:b w:val="0"/>
                <w:sz w:val="20"/>
              </w:rPr>
              <w:t>— and it is the mechanism that drives the vessel away from the gravitational centre toward the polytope-width bound. Its magnitude must be read from the VVLS; the analysis here establishes the consequence (irreversible walk), not the load value.</w:t>
            </w:r>
          </w:p>
        </w:tc>
      </w:tr>
    </w:tbl>
    <w:p>
      <w:pPr>
        <w:spacing w:after="40"/>
      </w:pPr>
    </w:p>
    <w:p>
      <w:pPr>
        <w:spacing w:before="320" w:after="80"/>
        <w:pBdr>
          <w:bottom w:val="single" w:sz="6" w:space="2" w:color="2b5797"/>
        </w:pBdr>
      </w:pPr>
      <w:r>
        <w:rPr>
          <w:b/>
          <w:color w:val="2B5797"/>
          <w:sz w:val="28"/>
        </w:rPr>
        <w:t>9 — Maximum Rattle: the Polytope-Width Bound</w:t>
      </w:r>
    </w:p>
    <w:p>
      <w:pPr>
        <w:spacing w:after="120"/>
      </w:pPr>
      <w:r>
        <w:rPr>
          <w:b w:val="0"/>
          <w:sz w:val="21"/>
        </w:rPr>
        <w:t xml:space="preserve">§3–§6 measured the departure from the gravitational centre — the right metric if the vessel self-centres. This section measures the complementary quantity: the </w:t>
      </w:r>
      <w:r>
        <w:rPr>
          <w:b/>
          <w:sz w:val="21"/>
        </w:rPr>
        <w:t>full peak-to-peak width of the displacement polytope</w:t>
      </w:r>
      <w:r>
        <w:rPr>
          <w:b w:val="0"/>
          <w:sz w:val="21"/>
        </w:rPr>
        <w:t xml:space="preserve"> (its diameter along the worst direction). The width is the total lateral travel available to the vessel — the kinematic ceiling on how far it can walk if friction (not gravity) sets its rest position (§10).</w:t>
      </w:r>
    </w:p>
    <w:tbl>
      <w:tblPr>
        <w:tblW w:type="auto" w:w="0"/>
        <w:jc w:val="center"/>
        <w:tblLook w:firstColumn="1" w:firstRow="1" w:lastColumn="0" w:lastRow="0" w:noHBand="0" w:noVBand="1" w:val="04A0"/>
      </w:tblPr>
      <w:tblGrid>
        <w:gridCol w:w="8640"/>
      </w:tblGrid>
      <w:tr>
        <w:tc>
          <w:tcPr>
            <w:tcW w:type="dxa" w:w="8640"/>
            <w:shd w:val="clear" w:fill="e8efff"/>
            <w:tcBorders>
              <w:left w:val="single" w:sz="24" w:color="2255aa"/>
            </w:tcBorders>
            <w:tcBorders>
              <w:top w:val="single" w:sz="4" w:color="e8efff"/>
              <w:bottom w:val="single" w:sz="4" w:color="e8efff"/>
              <w:right w:val="single" w:sz="4" w:color="e8efff"/>
            </w:tcBorders>
          </w:tcPr>
          <w:p>
            <w:pPr>
              <w:spacing w:before="0" w:after="40"/>
            </w:pPr>
            <w:r>
              <w:rPr>
                <w:b/>
                <w:color w:val="2255AA"/>
              </w:rPr>
              <w:t xml:space="preserve">Width and departure behave oppositely.  </w:t>
            </w:r>
            <w:r>
              <w:rPr>
                <w:b w:val="0"/>
                <w:sz w:val="20"/>
              </w:rPr>
              <w:t>Departure-from-centre is minimised at the centred assembly (u = 0 → 1.55 mm) and grows for offset assemblies. The polytope width is maximised at the centred assembly and shrinks for offset assemblies, so the worst-case width is the nominal one. Nominal width = 3.09 mm (distribution-free ceiling); over the assembly population: median 2.24 mm, P5 1.19 mm, minimum 0.21 mm — a typical as-built assembly has a narrower reachable envelope than nominal.</w:t>
            </w:r>
          </w:p>
        </w:tc>
      </w:tr>
    </w:tbl>
    <w:p>
      <w:pPr>
        <w:spacing w:after="40"/>
      </w:pPr>
    </w:p>
    <w:p>
      <w:pPr>
        <w:jc w:val="center"/>
      </w:pPr>
      <w:r>
        <w:drawing>
          <wp:inline xmlns:a="http://schemas.openxmlformats.org/drawingml/2006/main" xmlns:pic="http://schemas.openxmlformats.org/drawingml/2006/picture">
            <wp:extent cx="5852160" cy="2198339"/>
            <wp:docPr id="7" name="Picture 7"/>
            <wp:cNvGraphicFramePr>
              <a:graphicFrameLocks noChangeAspect="1"/>
            </wp:cNvGraphicFramePr>
            <a:graphic>
              <a:graphicData uri="http://schemas.openxmlformats.org/drawingml/2006/picture">
                <pic:pic>
                  <pic:nvPicPr>
                    <pic:cNvPr id="0" name="rattle_dashboard.png"/>
                    <pic:cNvPicPr/>
                  </pic:nvPicPr>
                  <pic:blipFill>
                    <a:blip r:embed="rId15"/>
                    <a:stretch>
                      <a:fillRect/>
                    </a:stretch>
                  </pic:blipFill>
                  <pic:spPr>
                    <a:xfrm>
                      <a:off x="0" y="0"/>
                      <a:ext cx="5852160" cy="2198339"/>
                    </a:xfrm>
                    <a:prstGeom prst="rect"/>
                  </pic:spPr>
                </pic:pic>
              </a:graphicData>
            </a:graphic>
          </wp:inline>
        </w:drawing>
      </w:r>
    </w:p>
    <w:p>
      <w:pPr>
        <w:spacing w:after="160"/>
        <w:jc w:val="center"/>
      </w:pPr>
      <w:r>
        <w:rPr>
          <w:i/>
          <w:color w:val="555555"/>
          <w:sz w:val="17"/>
        </w:rPr>
        <w:t>Distribution (left) and CDF (right) of the polytope width (peak-to-peak rattle) over 5000 assemblies. The nominal (u = 0) width 3.09 mm is the ceiling; offset assemblies are more constrained and sit below it. The shape inherits the unvalidated gap prior (§12), but the ceiling is distribution-free.</w:t>
      </w:r>
    </w:p>
    <w:p>
      <w:pPr>
        <w:jc w:val="center"/>
      </w:pPr>
      <w:r>
        <w:drawing>
          <wp:inline xmlns:a="http://schemas.openxmlformats.org/drawingml/2006/main" xmlns:pic="http://schemas.openxmlformats.org/drawingml/2006/picture">
            <wp:extent cx="3291840" cy="3291840"/>
            <wp:docPr id="8" name="Picture 8"/>
            <wp:cNvGraphicFramePr>
              <a:graphicFrameLocks noChangeAspect="1"/>
            </wp:cNvGraphicFramePr>
            <a:graphic>
              <a:graphicData uri="http://schemas.openxmlformats.org/drawingml/2006/picture">
                <pic:pic>
                  <pic:nvPicPr>
                    <pic:cNvPr id="0" name="rattle_width_nominal.gif"/>
                    <pic:cNvPicPr/>
                  </pic:nvPicPr>
                  <pic:blipFill>
                    <a:blip r:embed="rId16"/>
                    <a:stretch>
                      <a:fillRect/>
                    </a:stretch>
                  </pic:blipFill>
                  <pic:spPr>
                    <a:xfrm>
                      <a:off x="0" y="0"/>
                      <a:ext cx="3291840" cy="3291840"/>
                    </a:xfrm>
                    <a:prstGeom prst="rect"/>
                  </pic:spPr>
                </pic:pic>
              </a:graphicData>
            </a:graphic>
          </wp:inline>
        </w:drawing>
      </w:r>
    </w:p>
    <w:p>
      <w:pPr>
        <w:spacing w:after="160"/>
        <w:jc w:val="center"/>
      </w:pPr>
      <w:r>
        <w:rPr>
          <w:i/>
          <w:color w:val="555555"/>
          <w:sz w:val="17"/>
        </w:rPr>
        <w:t>The nominal assembly swept across the full polytope width (×500). The VV centre travels the complete ±1.55 mm diameter; the coloured pins show the toroidal-slot usage (blue = slack, orange = near limit, red = at the ±1.5 mm stop).</w:t>
      </w:r>
    </w:p>
    <w:p>
      <w:pPr>
        <w:spacing w:before="320" w:after="80"/>
        <w:pBdr>
          <w:bottom w:val="single" w:sz="6" w:space="2" w:color="2b5797"/>
        </w:pBdr>
      </w:pPr>
      <w:r>
        <w:rPr>
          <w:b/>
          <w:color w:val="2B5797"/>
          <w:sz w:val="28"/>
        </w:rPr>
        <w:t>10 — Which Bound? Frictionless Self-Centring vs Stiction Walk</w:t>
      </w:r>
    </w:p>
    <w:p>
      <w:pPr>
        <w:spacing w:after="120"/>
      </w:pPr>
      <w:r>
        <w:rPr>
          <w:b w:val="0"/>
          <w:sz w:val="21"/>
        </w:rPr>
        <w:t>Which regime ITER occupies is decided by one comparison: the gravitational restoring force that would recentre the vessel, versus the friction (stiction) force that resists toroidal sliding at the supports.</w:t>
      </w:r>
    </w:p>
    <w:tbl>
      <w:tblPr>
        <w:tblW w:type="auto" w:w="0"/>
        <w:jc w:val="center"/>
        <w:tblLook w:firstColumn="1" w:firstRow="1" w:lastColumn="0" w:lastRow="0" w:noHBand="0" w:noVBand="1" w:val="04A0"/>
      </w:tblPr>
      <w:tblGrid>
        <w:gridCol w:w="2880"/>
        <w:gridCol w:w="2880"/>
        <w:gridCol w:w="2880"/>
      </w:tblGrid>
      <w:tr>
        <w:tc>
          <w:tcPr>
            <w:tcW w:type="dxa" w:w="2880"/>
            <w:tcBorders>
              <w:top w:val="single" w:sz="8" w:color="888888"/>
              <w:bottom w:val="single" w:sz="6" w:color="888888"/>
              <w:left w:val="nil"/>
              <w:right w:val="nil"/>
            </w:tcBorders>
          </w:tcPr>
          <w:p>
            <w:pPr>
              <w:spacing w:before="0" w:after="40"/>
            </w:pPr>
            <w:r>
              <w:rPr>
                <w:b/>
                <w:color w:val="1A3A6E"/>
                <w:sz w:val="20"/>
              </w:rPr>
              <w:t>Quantity</w:t>
            </w:r>
          </w:p>
        </w:tc>
        <w:tc>
          <w:tcPr>
            <w:tcW w:type="dxa" w:w="2880"/>
            <w:tcBorders>
              <w:top w:val="single" w:sz="8" w:color="888888"/>
              <w:bottom w:val="single" w:sz="6" w:color="888888"/>
              <w:left w:val="nil"/>
              <w:right w:val="nil"/>
            </w:tcBorders>
          </w:tcPr>
          <w:p>
            <w:pPr>
              <w:spacing w:before="0" w:after="40"/>
            </w:pPr>
            <w:r>
              <w:rPr>
                <w:b/>
                <w:color w:val="1A3A6E"/>
                <w:sz w:val="20"/>
              </w:rPr>
              <w:t>Value</w:t>
            </w:r>
          </w:p>
        </w:tc>
        <w:tc>
          <w:tcPr>
            <w:tcW w:type="dxa" w:w="2880"/>
            <w:tcBorders>
              <w:top w:val="single" w:sz="8" w:color="888888"/>
              <w:bottom w:val="single" w:sz="6" w:color="888888"/>
              <w:left w:val="nil"/>
              <w:right w:val="nil"/>
            </w:tcBorders>
          </w:tcPr>
          <w:p>
            <w:pPr>
              <w:spacing w:before="0" w:after="40"/>
            </w:pPr>
            <w:r>
              <w:rPr>
                <w:b/>
                <w:color w:val="1A3A6E"/>
                <w:sz w:val="20"/>
              </w:rPr>
              <w:t>Basis</w:t>
            </w:r>
          </w:p>
        </w:tc>
      </w:tr>
      <w:tr>
        <w:tc>
          <w:tcPr>
            <w:tcW w:type="dxa" w:w="2880"/>
            <w:tcBorders>
              <w:top w:val="nil"/>
              <w:bottom w:val="nil"/>
              <w:left w:val="nil"/>
              <w:right w:val="nil"/>
            </w:tcBorders>
          </w:tcPr>
          <w:p>
            <w:pPr>
              <w:spacing w:before="0" w:after="40"/>
            </w:pPr>
            <w:r>
              <w:rPr>
                <w:b/>
                <w:sz w:val="20"/>
              </w:rPr>
              <w:t>Dead-weight axial force per VVGS (15° strut)</w:t>
            </w:r>
          </w:p>
        </w:tc>
        <w:tc>
          <w:tcPr>
            <w:tcW w:type="dxa" w:w="2880"/>
            <w:tcBorders>
              <w:top w:val="nil"/>
              <w:bottom w:val="nil"/>
              <w:left w:val="nil"/>
              <w:right w:val="nil"/>
            </w:tcBorders>
          </w:tcPr>
          <w:p>
            <w:pPr>
              <w:spacing w:before="0" w:after="40"/>
            </w:pPr>
            <w:r>
              <w:rPr>
                <w:sz w:val="20"/>
              </w:rPr>
              <w:t>≈ 10.2 MN</w:t>
            </w:r>
          </w:p>
        </w:tc>
        <w:tc>
          <w:tcPr>
            <w:tcW w:type="dxa" w:w="2880"/>
            <w:tcBorders>
              <w:top w:val="nil"/>
              <w:bottom w:val="nil"/>
              <w:left w:val="nil"/>
              <w:right w:val="nil"/>
            </w:tcBorders>
          </w:tcPr>
          <w:p>
            <w:pPr>
              <w:spacing w:before="0" w:after="40"/>
            </w:pPr>
            <w:r>
              <w:rPr>
                <w:sz w:val="20"/>
              </w:rPr>
              <w:t>(Mg/9)/cos 15°, M ≈ 9000 t</w:t>
            </w:r>
          </w:p>
        </w:tc>
      </w:tr>
      <w:tr>
        <w:tc>
          <w:tcPr>
            <w:tcW w:type="dxa" w:w="2880"/>
            <w:tcBorders>
              <w:top w:val="nil"/>
              <w:bottom w:val="nil"/>
              <w:left w:val="nil"/>
              <w:right w:val="nil"/>
            </w:tcBorders>
          </w:tcPr>
          <w:p>
            <w:pPr>
              <w:spacing w:before="0" w:after="40"/>
            </w:pPr>
            <w:r>
              <w:rPr>
                <w:b/>
                <w:sz w:val="20"/>
              </w:rPr>
              <w:t>Toroidal breakaway (stiction) per support</w:t>
            </w:r>
          </w:p>
        </w:tc>
        <w:tc>
          <w:tcPr>
            <w:tcW w:type="dxa" w:w="2880"/>
            <w:tcBorders>
              <w:top w:val="nil"/>
              <w:bottom w:val="nil"/>
              <w:left w:val="nil"/>
              <w:right w:val="nil"/>
            </w:tcBorders>
          </w:tcPr>
          <w:p>
            <w:pPr>
              <w:spacing w:before="0" w:after="40"/>
            </w:pPr>
            <w:r>
              <w:rPr>
                <w:sz w:val="20"/>
              </w:rPr>
              <w:t>≈ 1.0 MN</w:t>
            </w:r>
          </w:p>
        </w:tc>
        <w:tc>
          <w:tcPr>
            <w:tcW w:type="dxa" w:w="2880"/>
            <w:tcBorders>
              <w:top w:val="nil"/>
              <w:bottom w:val="nil"/>
              <w:left w:val="nil"/>
              <w:right w:val="nil"/>
            </w:tcBorders>
          </w:tcPr>
          <w:p>
            <w:pPr>
              <w:spacing w:before="0" w:after="40"/>
            </w:pPr>
            <w:r>
              <w:rPr>
                <w:sz w:val="20"/>
              </w:rPr>
              <w:t>μ ≈ 0.1 × axial</w:t>
            </w:r>
          </w:p>
        </w:tc>
      </w:tr>
      <w:tr>
        <w:tc>
          <w:tcPr>
            <w:tcW w:type="dxa" w:w="2880"/>
            <w:tcBorders>
              <w:top w:val="nil"/>
              <w:bottom w:val="nil"/>
              <w:left w:val="nil"/>
              <w:right w:val="nil"/>
            </w:tcBorders>
          </w:tcPr>
          <w:p>
            <w:pPr>
              <w:spacing w:before="0" w:after="40"/>
            </w:pPr>
            <w:r>
              <w:rPr>
                <w:b/>
                <w:sz w:val="20"/>
              </w:rPr>
              <w:t>Aggregate lateral breakaway (all 9, worst dir.)</w:t>
            </w:r>
          </w:p>
        </w:tc>
        <w:tc>
          <w:tcPr>
            <w:tcW w:type="dxa" w:w="2880"/>
            <w:tcBorders>
              <w:top w:val="nil"/>
              <w:bottom w:val="nil"/>
              <w:left w:val="nil"/>
              <w:right w:val="nil"/>
            </w:tcBorders>
          </w:tcPr>
          <w:p>
            <w:pPr>
              <w:spacing w:before="0" w:after="40"/>
            </w:pPr>
            <w:r>
              <w:rPr>
                <w:sz w:val="20"/>
              </w:rPr>
              <w:t>≈ 5.7 MN</w:t>
            </w:r>
          </w:p>
        </w:tc>
        <w:tc>
          <w:tcPr>
            <w:tcW w:type="dxa" w:w="2880"/>
            <w:tcBorders>
              <w:top w:val="nil"/>
              <w:bottom w:val="nil"/>
              <w:left w:val="nil"/>
              <w:right w:val="nil"/>
            </w:tcBorders>
          </w:tcPr>
          <w:p>
            <w:pPr>
              <w:spacing w:before="0" w:after="40"/>
            </w:pPr>
            <w:r>
              <w:rPr>
                <w:sz w:val="20"/>
              </w:rPr>
              <w:t>Σ μN |sin(θ−φ_i)|</w:t>
            </w:r>
          </w:p>
        </w:tc>
      </w:tr>
      <w:tr>
        <w:tc>
          <w:tcPr>
            <w:tcW w:type="dxa" w:w="2880"/>
            <w:tcBorders>
              <w:top w:val="nil"/>
              <w:bottom w:val="nil"/>
              <w:left w:val="nil"/>
              <w:right w:val="nil"/>
            </w:tcBorders>
          </w:tcPr>
          <w:p>
            <w:pPr>
              <w:spacing w:before="0" w:after="40"/>
            </w:pPr>
            <w:r>
              <w:rPr>
                <w:b/>
                <w:sz w:val="20"/>
              </w:rPr>
              <w:t>Gravitational restoring at the ±1.5 mm stop</w:t>
            </w:r>
          </w:p>
        </w:tc>
        <w:tc>
          <w:tcPr>
            <w:tcW w:type="dxa" w:w="2880"/>
            <w:tcBorders>
              <w:top w:val="nil"/>
              <w:bottom w:val="nil"/>
              <w:left w:val="nil"/>
              <w:right w:val="nil"/>
            </w:tcBorders>
          </w:tcPr>
          <w:p>
            <w:pPr>
              <w:spacing w:before="0" w:after="40"/>
            </w:pPr>
            <w:r>
              <w:rPr>
                <w:sz w:val="20"/>
              </w:rPr>
              <w:t>≈ 4.1 kN</w:t>
            </w:r>
          </w:p>
        </w:tc>
        <w:tc>
          <w:tcPr>
            <w:tcW w:type="dxa" w:w="2880"/>
            <w:tcBorders>
              <w:top w:val="nil"/>
              <w:bottom w:val="nil"/>
              <w:left w:val="nil"/>
              <w:right w:val="nil"/>
            </w:tcBorders>
          </w:tcPr>
          <w:p>
            <w:pPr>
              <w:spacing w:before="0" w:after="40"/>
            </w:pPr>
            <w:r>
              <w:rPr>
                <w:sz w:val="20"/>
              </w:rPr>
              <w:t>K × 1.5 mm</w:t>
            </w:r>
          </w:p>
        </w:tc>
      </w:tr>
      <w:tr>
        <w:tc>
          <w:tcPr>
            <w:tcW w:type="dxa" w:w="2880"/>
            <w:tcBorders>
              <w:top w:val="nil"/>
              <w:bottom w:val="single" w:sz="8" w:color="888888"/>
              <w:left w:val="nil"/>
              <w:right w:val="nil"/>
            </w:tcBorders>
          </w:tcPr>
          <w:p>
            <w:pPr>
              <w:spacing w:before="0" w:after="40"/>
            </w:pPr>
            <w:r>
              <w:rPr>
                <w:b/>
                <w:sz w:val="20"/>
              </w:rPr>
              <w:t>Breakaway ÷ restoring</w:t>
            </w:r>
          </w:p>
        </w:tc>
        <w:tc>
          <w:tcPr>
            <w:tcW w:type="dxa" w:w="2880"/>
            <w:tcBorders>
              <w:top w:val="nil"/>
              <w:bottom w:val="single" w:sz="8" w:color="888888"/>
              <w:left w:val="nil"/>
              <w:right w:val="nil"/>
            </w:tcBorders>
          </w:tcPr>
          <w:p>
            <w:pPr>
              <w:spacing w:before="0" w:after="40"/>
            </w:pPr>
            <w:r>
              <w:rPr>
                <w:sz w:val="20"/>
              </w:rPr>
              <w:t>≈ 1400×</w:t>
            </w:r>
          </w:p>
        </w:tc>
        <w:tc>
          <w:tcPr>
            <w:tcW w:type="dxa" w:w="2880"/>
            <w:tcBorders>
              <w:top w:val="nil"/>
              <w:bottom w:val="single" w:sz="8" w:color="888888"/>
              <w:left w:val="nil"/>
              <w:right w:val="nil"/>
            </w:tcBorders>
          </w:tcPr>
          <w:p>
            <w:pPr>
              <w:spacing w:before="0" w:after="40"/>
            </w:pPr>
            <w:r>
              <w:rPr>
                <w:sz w:val="20"/>
              </w:rPr>
              <w:t>2–3 orders of magnitude</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fill="fff0ee"/>
            <w:tcBorders>
              <w:left w:val="single" w:sz="24" w:color="cc2200"/>
            </w:tcBorders>
            <w:tcBorders>
              <w:top w:val="single" w:sz="4" w:color="fff0ee"/>
              <w:bottom w:val="single" w:sz="4" w:color="fff0ee"/>
              <w:right w:val="single" w:sz="4" w:color="fff0ee"/>
            </w:tcBorders>
          </w:tcPr>
          <w:p>
            <w:pPr>
              <w:spacing w:before="0" w:after="40"/>
            </w:pPr>
            <w:r>
              <w:rPr>
                <w:b/>
                <w:color w:val="CC2200"/>
              </w:rPr>
              <w:t xml:space="preserve">Stiction wins by ~1000×.  </w:t>
            </w:r>
            <w:r>
              <w:rPr>
                <w:b w:val="0"/>
                <w:sz w:val="20"/>
              </w:rPr>
              <w:t>The gravitational restoring force (kN) is negligible against the toroidal breakaway force (MN). The vessel does not self-centre. Once any load large enough to break stiction (a disruption/VDE, §8) slides the supports, the vessel moves and stays there — gravity cannot pull it back. Over many events the vessel ratchets / walks through the polytope. The frictionless self-centring picture of §3–§6 is a lower bound; the realistic operational envelope is the polytope width (§9), ≈ 3.1 mm at worst.</w:t>
            </w:r>
          </w:p>
        </w:tc>
      </w:tr>
    </w:tbl>
    <w:p>
      <w:pPr>
        <w:spacing w:after="40"/>
      </w:pPr>
    </w:p>
    <w:p>
      <w:pPr>
        <w:jc w:val="center"/>
      </w:pPr>
      <w:r>
        <w:drawing>
          <wp:inline xmlns:a="http://schemas.openxmlformats.org/drawingml/2006/main" xmlns:pic="http://schemas.openxmlformats.org/drawingml/2006/picture">
            <wp:extent cx="5852160" cy="2090057"/>
            <wp:docPr id="9" name="Picture 9"/>
            <wp:cNvGraphicFramePr>
              <a:graphicFrameLocks noChangeAspect="1"/>
            </wp:cNvGraphicFramePr>
            <a:graphic>
              <a:graphicData uri="http://schemas.openxmlformats.org/drawingml/2006/picture">
                <pic:pic>
                  <pic:nvPicPr>
                    <pic:cNvPr id="0" name="two_bounds.png"/>
                    <pic:cNvPicPr/>
                  </pic:nvPicPr>
                  <pic:blipFill>
                    <a:blip r:embed="rId17"/>
                    <a:stretch>
                      <a:fillRect/>
                    </a:stretch>
                  </pic:blipFill>
                  <pic:spPr>
                    <a:xfrm>
                      <a:off x="0" y="0"/>
                      <a:ext cx="5852160" cy="2090057"/>
                    </a:xfrm>
                    <a:prstGeom prst="rect"/>
                  </pic:spPr>
                </pic:pic>
              </a:graphicData>
            </a:graphic>
          </wp:inline>
        </w:drawing>
      </w:r>
    </w:p>
    <w:p>
      <w:pPr>
        <w:spacing w:after="160"/>
        <w:jc w:val="center"/>
      </w:pPr>
      <w:r>
        <w:rPr>
          <w:i/>
          <w:color w:val="555555"/>
          <w:sz w:val="17"/>
        </w:rPr>
        <w:t>Left — the two metrics as distributions: departure-from-centre (blue, frictionless lower bound) and polytope width (red, stiction-walk envelope). Right — the VV n = 1 first-wall contribution under each regime against the 6 mm budget: frictionless self-centred ≈ 0, but the realistic stiction-walk ceiling ≈ 3.1 mm consumes about half the budget.</w:t>
      </w:r>
    </w:p>
    <w:p>
      <w:pPr>
        <w:spacing w:before="320" w:after="80"/>
        <w:pBdr>
          <w:bottom w:val="single" w:sz="6" w:space="2" w:color="2b5797"/>
        </w:pBdr>
      </w:pPr>
      <w:r>
        <w:rPr>
          <w:b/>
          <w:color w:val="2B5797"/>
          <w:sz w:val="28"/>
        </w:rPr>
        <w:t>11 — Thermal Cycling &amp; the Statically-Overdetermined Structure</w:t>
      </w:r>
    </w:p>
    <w:p>
      <w:pPr>
        <w:spacing w:after="120"/>
      </w:pPr>
      <w:r>
        <w:rPr>
          <w:b w:val="0"/>
          <w:sz w:val="21"/>
        </w:rPr>
        <w:t>Does warming the vessel relax the nine stictions in a coordinated way that lets it settle back to the gravitational centre? And what loads does an off-centre vessel generate when heated, given that nine supports over-constrain a body with only three in-plane freedoms?</w:t>
      </w:r>
    </w:p>
    <w:p>
      <w:pPr>
        <w:spacing w:before="200" w:after="40"/>
      </w:pPr>
      <w:r>
        <w:rPr>
          <w:b/>
          <w:color w:val="444444"/>
          <w:sz w:val="23"/>
        </w:rPr>
        <w:t>Free radial breathing — large, but it does not recentre</w:t>
      </w:r>
    </w:p>
    <w:p>
      <w:pPr>
        <w:spacing w:after="120"/>
      </w:pPr>
      <w:r>
        <w:rPr>
          <w:b w:val="0"/>
          <w:sz w:val="21"/>
        </w:rPr>
        <w:t>For ΔT ≈ 78 K (22 → 100 °C) and 316L(N) α ≈ 16×10⁻⁶ K⁻¹, the support radius grows by R_s·α·ΔT ≈ 12.5 mm (≈ 32 mm at the full 200 °C bake). This is the motion the dual-hinge supports are designed to take: the dowels rotate, the radial growth is free, and no toroidal slot demand or lateral load is generated — provided the expansion is about the support-ring centre.</w:t>
      </w:r>
    </w:p>
    <w:tbl>
      <w:tblPr>
        <w:tblW w:type="auto" w:w="0"/>
        <w:jc w:val="center"/>
        <w:tblLook w:firstColumn="1" w:firstRow="1" w:lastColumn="0" w:lastRow="0" w:noHBand="0" w:noVBand="1" w:val="04A0"/>
      </w:tblPr>
      <w:tblGrid>
        <w:gridCol w:w="8640"/>
      </w:tblGrid>
      <w:tr>
        <w:tc>
          <w:tcPr>
            <w:tcW w:type="dxa" w:w="8640"/>
            <w:shd w:val="clear" w:fill="fff0ee"/>
            <w:tcBorders>
              <w:left w:val="single" w:sz="24" w:color="cc2200"/>
            </w:tcBorders>
            <w:tcBorders>
              <w:top w:val="single" w:sz="4" w:color="fff0ee"/>
              <w:bottom w:val="single" w:sz="4" w:color="fff0ee"/>
              <w:right w:val="single" w:sz="4" w:color="fff0ee"/>
            </w:tcBorders>
          </w:tcPr>
          <w:p>
            <w:pPr>
              <w:spacing w:before="0" w:after="40"/>
            </w:pPr>
            <w:r>
              <w:rPr>
                <w:b/>
                <w:color w:val="CC2200"/>
              </w:rPr>
              <w:t xml:space="preserve">Thermal cycling does not break the stiction.  </w:t>
            </w:r>
            <w:r>
              <w:rPr>
                <w:b w:val="0"/>
                <w:sz w:val="20"/>
              </w:rPr>
              <w:t>If the vessel is off-centre by d, isotropic expansion about its centroid produces a toroidal slot demand of only α·ΔT·|d| ≈ 3.7 µm (for d = 3 mm). The elastic force to absorb such a micron-scale mismatch at a locked slot is a few kN — ~1000× below the ≈ 1 MN stiction. Heating neither unloads the supports (weight, hence stiction, is temperature-independent) nor generates enough toroidal demand to slide them. An off-centre vessel stays off-centre through thermal cycles; there is no coordinated relaxation back to the gravitational centre.</w:t>
            </w:r>
          </w:p>
        </w:tc>
      </w:tr>
    </w:tbl>
    <w:p>
      <w:pPr>
        <w:spacing w:after="40"/>
      </w:pPr>
    </w:p>
    <w:p>
      <w:pPr>
        <w:spacing w:before="200" w:after="40"/>
      </w:pPr>
      <w:r>
        <w:rPr>
          <w:b/>
          <w:color w:val="444444"/>
          <w:sz w:val="23"/>
        </w:rPr>
        <w:t>Locked-in loads: uniform expansion is benign; asymmetry is the risk</w:t>
      </w:r>
    </w:p>
    <w:p>
      <w:pPr>
        <w:spacing w:after="120"/>
      </w:pPr>
      <w:r>
        <w:rPr>
          <w:b w:val="0"/>
          <w:sz w:val="21"/>
        </w:rPr>
        <w:t>Uniform isotropic expansion of an off-centre vessel maps exactly onto a representable rigid-body shift, because δ_i^th = α·ΔT·(d·ê_t,i) = A[i,:]·(α·ΔT·d_x, α·ΔT·d_y, 0). A demand lying in the column space of A is a rigid-body mode and induces no self-stress (only the µm-scale take-up above if a slot is locked). So uniform heating of a nominally symmetric vessel is benign.</w:t>
      </w:r>
    </w:p>
    <w:p>
      <w:pPr>
        <w:spacing w:after="120"/>
      </w:pPr>
      <w:r>
        <w:rPr>
          <w:b w:val="0"/>
          <w:sz w:val="21"/>
        </w:rPr>
        <w:t>The genuine thermal risk is support-to-support asymmetry: non-uniform temperatures (sector gradients, asymmetric baking, local heating) produce a toroidal demand pattern that does not lie in the column space of A. That component cannot be relieved by any rigid-body motion, so in a statically over-determined ring it is carried as a self-equilibrating internal load set across the redundant supports — locked-in toroidal dowel forces scaling with the differential expansion (α·ΔT·ΔR_support-to-support), not with the mean temperature.</w:t>
      </w:r>
    </w:p>
    <w:tbl>
      <w:tblPr>
        <w:tblW w:type="auto" w:w="0"/>
        <w:jc w:val="center"/>
        <w:tblLook w:firstColumn="1" w:firstRow="1" w:lastColumn="0" w:lastRow="0" w:noHBand="0" w:noVBand="1" w:val="04A0"/>
      </w:tblPr>
      <w:tblGrid>
        <w:gridCol w:w="8640"/>
      </w:tblGrid>
      <w:tr>
        <w:tc>
          <w:tcPr>
            <w:tcW w:type="dxa" w:w="8640"/>
            <w:shd w:val="clear" w:fill="fff8e0"/>
            <w:tcBorders>
              <w:left w:val="single" w:sz="24" w:color="cc8800"/>
            </w:tcBorders>
            <w:tcBorders>
              <w:top w:val="single" w:sz="4" w:color="fff8e0"/>
              <w:bottom w:val="single" w:sz="4" w:color="fff8e0"/>
              <w:right w:val="single" w:sz="4" w:color="fff8e0"/>
            </w:tcBorders>
          </w:tcPr>
          <w:p>
            <w:pPr>
              <w:spacing w:before="0" w:after="40"/>
            </w:pPr>
            <w:r>
              <w:rPr>
                <w:b/>
                <w:color w:val="CC8800"/>
              </w:rPr>
              <w:t xml:space="preserve">Conjecture (needs FE confirmation).  </w:t>
            </w:r>
            <w:r>
              <w:rPr>
                <w:b w:val="0"/>
                <w:sz w:val="20"/>
              </w:rPr>
              <w:t>The dominant thermal lateral concern is not mean-temperature recentring (it does not happen) but the locked-in self-stress from asymmetric thermal fields acting on a stiction-locked, over-determined 9-support ring. A thermo-mechanical FE model with realistic sector temperature spreads and the measured/assumed slot states is required to size these internal loads and confirm they stay within the VVGS toroidal capacity.</w:t>
            </w:r>
          </w:p>
        </w:tc>
      </w:tr>
    </w:tbl>
    <w:p>
      <w:pPr>
        <w:spacing w:after="40"/>
      </w:pPr>
    </w:p>
    <w:p>
      <w:pPr>
        <w:spacing w:before="320" w:after="80"/>
        <w:pBdr>
          <w:bottom w:val="single" w:sz="6" w:space="2" w:color="2b5797"/>
        </w:pBdr>
      </w:pPr>
      <w:r>
        <w:rPr>
          <w:b/>
          <w:color w:val="2B5797"/>
          <w:sz w:val="28"/>
        </w:rPr>
        <w:t>12 — Reliability of the Gap Distribution &amp; the Case for Measurement</w:t>
      </w:r>
    </w:p>
    <w:p>
      <w:pPr>
        <w:spacing w:after="120"/>
      </w:pPr>
      <w:r>
        <w:rPr>
          <w:b w:val="0"/>
          <w:sz w:val="21"/>
        </w:rPr>
        <w:t>The statistics in §5–§6 rest on one weak assumption: that each support's offset is an independent draw from Uniform(−1.5 mm, +1.5 mm). Neither part is justified — the real gaps are the product of an assembly sequence, not a random process, and there is no evidence the range is ±1.5 mm or the shape uniform. A different but equally defensible prior moves the percentiles materially, so P95/P99 carry little weight.</w:t>
      </w:r>
    </w:p>
    <w:tbl>
      <w:tblPr>
        <w:tblW w:type="auto" w:w="0"/>
        <w:jc w:val="center"/>
        <w:tblLook w:firstColumn="1" w:firstRow="1" w:lastColumn="0" w:lastRow="0" w:noHBand="0" w:noVBand="1" w:val="04A0"/>
      </w:tblPr>
      <w:tblGrid>
        <w:gridCol w:w="2880"/>
        <w:gridCol w:w="2880"/>
        <w:gridCol w:w="2880"/>
      </w:tblGrid>
      <w:tr>
        <w:tc>
          <w:tcPr>
            <w:tcW w:type="dxa" w:w="2880"/>
            <w:tcBorders>
              <w:top w:val="single" w:sz="8" w:color="888888"/>
              <w:bottom w:val="single" w:sz="6" w:color="888888"/>
              <w:left w:val="nil"/>
              <w:right w:val="nil"/>
            </w:tcBorders>
          </w:tcPr>
          <w:p>
            <w:pPr>
              <w:spacing w:before="0" w:after="40"/>
            </w:pPr>
            <w:r>
              <w:rPr>
                <w:b/>
                <w:color w:val="1A3A6E"/>
                <w:sz w:val="20"/>
              </w:rPr>
              <w:t>Result</w:t>
            </w:r>
          </w:p>
        </w:tc>
        <w:tc>
          <w:tcPr>
            <w:tcW w:type="dxa" w:w="2880"/>
            <w:tcBorders>
              <w:top w:val="single" w:sz="8" w:color="888888"/>
              <w:bottom w:val="single" w:sz="6" w:color="888888"/>
              <w:left w:val="nil"/>
              <w:right w:val="nil"/>
            </w:tcBorders>
          </w:tcPr>
          <w:p>
            <w:pPr>
              <w:spacing w:before="0" w:after="40"/>
            </w:pPr>
            <w:r>
              <w:rPr>
                <w:b/>
                <w:color w:val="1A3A6E"/>
                <w:sz w:val="20"/>
              </w:rPr>
              <w:t>Depends on the gap distribution?</w:t>
            </w:r>
          </w:p>
        </w:tc>
        <w:tc>
          <w:tcPr>
            <w:tcW w:type="dxa" w:w="2880"/>
            <w:tcBorders>
              <w:top w:val="single" w:sz="8" w:color="888888"/>
              <w:bottom w:val="single" w:sz="6" w:color="888888"/>
              <w:left w:val="nil"/>
              <w:right w:val="nil"/>
            </w:tcBorders>
          </w:tcPr>
          <w:p>
            <w:pPr>
              <w:spacing w:before="0" w:after="40"/>
            </w:pPr>
            <w:r>
              <w:rPr>
                <w:b/>
                <w:color w:val="1A3A6E"/>
                <w:sz w:val="20"/>
              </w:rPr>
              <w:t>Confidence</w:t>
            </w:r>
          </w:p>
        </w:tc>
      </w:tr>
      <w:tr>
        <w:tc>
          <w:tcPr>
            <w:tcW w:type="dxa" w:w="2880"/>
            <w:tcBorders>
              <w:top w:val="nil"/>
              <w:bottom w:val="nil"/>
              <w:left w:val="nil"/>
              <w:right w:val="nil"/>
            </w:tcBorders>
          </w:tcPr>
          <w:p>
            <w:pPr>
              <w:spacing w:before="0" w:after="40"/>
            </w:pPr>
            <w:r>
              <w:rPr>
                <w:b/>
                <w:sz w:val="20"/>
              </w:rPr>
              <w:t>Nominal centred envelope (1.55 mm)</w:t>
            </w:r>
          </w:p>
        </w:tc>
        <w:tc>
          <w:tcPr>
            <w:tcW w:type="dxa" w:w="2880"/>
            <w:tcBorders>
              <w:top w:val="nil"/>
              <w:bottom w:val="nil"/>
              <w:left w:val="nil"/>
              <w:right w:val="nil"/>
            </w:tcBorders>
          </w:tcPr>
          <w:p>
            <w:pPr>
              <w:spacing w:before="0" w:after="40"/>
            </w:pPr>
            <w:r>
              <w:rPr>
                <w:sz w:val="20"/>
              </w:rPr>
              <w:t>No — geometry + slot</w:t>
            </w:r>
          </w:p>
        </w:tc>
        <w:tc>
          <w:tcPr>
            <w:tcW w:type="dxa" w:w="2880"/>
            <w:tcBorders>
              <w:top w:val="nil"/>
              <w:bottom w:val="nil"/>
              <w:left w:val="nil"/>
              <w:right w:val="nil"/>
            </w:tcBorders>
          </w:tcPr>
          <w:p>
            <w:pPr>
              <w:spacing w:before="0" w:after="40"/>
            </w:pPr>
            <w:r>
              <w:rPr>
                <w:sz w:val="20"/>
              </w:rPr>
              <w:t>HIGH</w:t>
            </w:r>
          </w:p>
        </w:tc>
      </w:tr>
      <w:tr>
        <w:tc>
          <w:tcPr>
            <w:tcW w:type="dxa" w:w="2880"/>
            <w:tcBorders>
              <w:top w:val="nil"/>
              <w:bottom w:val="nil"/>
              <w:left w:val="nil"/>
              <w:right w:val="nil"/>
            </w:tcBorders>
          </w:tcPr>
          <w:p>
            <w:pPr>
              <w:spacing w:before="0" w:after="40"/>
            </w:pPr>
            <w:r>
              <w:rPr>
                <w:b/>
                <w:sz w:val="20"/>
              </w:rPr>
              <w:t>Polytope-width ceiling (3.09 mm)</w:t>
            </w:r>
          </w:p>
        </w:tc>
        <w:tc>
          <w:tcPr>
            <w:tcW w:type="dxa" w:w="2880"/>
            <w:tcBorders>
              <w:top w:val="nil"/>
              <w:bottom w:val="nil"/>
              <w:left w:val="nil"/>
              <w:right w:val="nil"/>
            </w:tcBorders>
          </w:tcPr>
          <w:p>
            <w:pPr>
              <w:spacing w:before="0" w:after="40"/>
            </w:pPr>
            <w:r>
              <w:rPr>
                <w:sz w:val="20"/>
              </w:rPr>
              <w:t>No — geometry + slot</w:t>
            </w:r>
          </w:p>
        </w:tc>
        <w:tc>
          <w:tcPr>
            <w:tcW w:type="dxa" w:w="2880"/>
            <w:tcBorders>
              <w:top w:val="nil"/>
              <w:bottom w:val="nil"/>
              <w:left w:val="nil"/>
              <w:right w:val="nil"/>
            </w:tcBorders>
          </w:tcPr>
          <w:p>
            <w:pPr>
              <w:spacing w:before="0" w:after="40"/>
            </w:pPr>
            <w:r>
              <w:rPr>
                <w:sz w:val="20"/>
              </w:rPr>
              <w:t>HIGH</w:t>
            </w:r>
          </w:p>
        </w:tc>
      </w:tr>
      <w:tr>
        <w:tc>
          <w:tcPr>
            <w:tcW w:type="dxa" w:w="2880"/>
            <w:tcBorders>
              <w:top w:val="nil"/>
              <w:bottom w:val="nil"/>
              <w:left w:val="nil"/>
              <w:right w:val="nil"/>
            </w:tcBorders>
          </w:tcPr>
          <w:p>
            <w:pPr>
              <w:spacing w:before="0" w:after="40"/>
            </w:pPr>
            <w:r>
              <w:rPr>
                <w:b/>
                <w:sz w:val="20"/>
              </w:rPr>
              <w:t>Stiction ≫ centring (~1000×) &amp; walk verdict</w:t>
            </w:r>
          </w:p>
        </w:tc>
        <w:tc>
          <w:tcPr>
            <w:tcW w:type="dxa" w:w="2880"/>
            <w:tcBorders>
              <w:top w:val="nil"/>
              <w:bottom w:val="nil"/>
              <w:left w:val="nil"/>
              <w:right w:val="nil"/>
            </w:tcBorders>
          </w:tcPr>
          <w:p>
            <w:pPr>
              <w:spacing w:before="0" w:after="40"/>
            </w:pPr>
            <w:r>
              <w:rPr>
                <w:sz w:val="20"/>
              </w:rPr>
              <w:t>No — force comparison</w:t>
            </w:r>
          </w:p>
        </w:tc>
        <w:tc>
          <w:tcPr>
            <w:tcW w:type="dxa" w:w="2880"/>
            <w:tcBorders>
              <w:top w:val="nil"/>
              <w:bottom w:val="nil"/>
              <w:left w:val="nil"/>
              <w:right w:val="nil"/>
            </w:tcBorders>
          </w:tcPr>
          <w:p>
            <w:pPr>
              <w:spacing w:before="0" w:after="40"/>
            </w:pPr>
            <w:r>
              <w:rPr>
                <w:sz w:val="20"/>
              </w:rPr>
              <w:t>HIGH</w:t>
            </w:r>
          </w:p>
        </w:tc>
      </w:tr>
      <w:tr>
        <w:tc>
          <w:tcPr>
            <w:tcW w:type="dxa" w:w="2880"/>
            <w:tcBorders>
              <w:top w:val="nil"/>
              <w:bottom w:val="nil"/>
              <w:left w:val="nil"/>
              <w:right w:val="nil"/>
            </w:tcBorders>
          </w:tcPr>
          <w:p>
            <w:pPr>
              <w:spacing w:before="0" w:after="40"/>
            </w:pPr>
            <w:r>
              <w:rPr>
                <w:b/>
                <w:sz w:val="20"/>
              </w:rPr>
              <w:t>Thermal no-recentring verdict</w:t>
            </w:r>
          </w:p>
        </w:tc>
        <w:tc>
          <w:tcPr>
            <w:tcW w:type="dxa" w:w="2880"/>
            <w:tcBorders>
              <w:top w:val="nil"/>
              <w:bottom w:val="nil"/>
              <w:left w:val="nil"/>
              <w:right w:val="nil"/>
            </w:tcBorders>
          </w:tcPr>
          <w:p>
            <w:pPr>
              <w:spacing w:before="0" w:after="40"/>
            </w:pPr>
            <w:r>
              <w:rPr>
                <w:sz w:val="20"/>
              </w:rPr>
              <w:t>No — force comparison</w:t>
            </w:r>
          </w:p>
        </w:tc>
        <w:tc>
          <w:tcPr>
            <w:tcW w:type="dxa" w:w="2880"/>
            <w:tcBorders>
              <w:top w:val="nil"/>
              <w:bottom w:val="nil"/>
              <w:left w:val="nil"/>
              <w:right w:val="nil"/>
            </w:tcBorders>
          </w:tcPr>
          <w:p>
            <w:pPr>
              <w:spacing w:before="0" w:after="40"/>
            </w:pPr>
            <w:r>
              <w:rPr>
                <w:sz w:val="20"/>
              </w:rPr>
              <w:t>HIGH</w:t>
            </w:r>
          </w:p>
        </w:tc>
      </w:tr>
      <w:tr>
        <w:tc>
          <w:tcPr>
            <w:tcW w:type="dxa" w:w="2880"/>
            <w:tcBorders>
              <w:top w:val="nil"/>
              <w:bottom w:val="single" w:sz="8" w:color="888888"/>
              <w:left w:val="nil"/>
              <w:right w:val="nil"/>
            </w:tcBorders>
          </w:tcPr>
          <w:p>
            <w:pPr>
              <w:spacing w:before="0" w:after="40"/>
            </w:pPr>
            <w:r>
              <w:rPr>
                <w:b/>
                <w:sz w:val="20"/>
              </w:rPr>
              <w:t>MC percentiles (P95 = 2.27 mm, etc.)</w:t>
            </w:r>
          </w:p>
        </w:tc>
        <w:tc>
          <w:tcPr>
            <w:tcW w:type="dxa" w:w="2880"/>
            <w:tcBorders>
              <w:top w:val="nil"/>
              <w:bottom w:val="single" w:sz="8" w:color="888888"/>
              <w:left w:val="nil"/>
              <w:right w:val="nil"/>
            </w:tcBorders>
          </w:tcPr>
          <w:p>
            <w:pPr>
              <w:spacing w:before="0" w:after="40"/>
            </w:pPr>
            <w:r>
              <w:rPr>
                <w:sz w:val="20"/>
              </w:rPr>
              <w:t>Yes — strongly</w:t>
            </w:r>
          </w:p>
        </w:tc>
        <w:tc>
          <w:tcPr>
            <w:tcW w:type="dxa" w:w="2880"/>
            <w:tcBorders>
              <w:top w:val="nil"/>
              <w:bottom w:val="single" w:sz="8" w:color="888888"/>
              <w:left w:val="nil"/>
              <w:right w:val="nil"/>
            </w:tcBorders>
          </w:tcPr>
          <w:p>
            <w:pPr>
              <w:spacing w:before="0" w:after="40"/>
            </w:pPr>
            <w:r>
              <w:rPr>
                <w:sz w:val="20"/>
              </w:rPr>
              <w:t>LOW</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fill="edf8ed"/>
            <w:tcBorders>
              <w:left w:val="single" w:sz="24" w:color="2a8a2a"/>
            </w:tcBorders>
            <w:tcBorders>
              <w:top w:val="single" w:sz="4" w:color="edf8ed"/>
              <w:bottom w:val="single" w:sz="4" w:color="edf8ed"/>
              <w:right w:val="single" w:sz="4" w:color="edf8ed"/>
            </w:tcBorders>
          </w:tcPr>
          <w:p>
            <w:pPr>
              <w:spacing w:before="0" w:after="40"/>
            </w:pPr>
            <w:r>
              <w:rPr>
                <w:b/>
                <w:color w:val="2A8A2A"/>
              </w:rPr>
              <w:t xml:space="preserve">Recommendation: measure, don't propagate.  </w:t>
            </w:r>
            <w:r>
              <w:rPr>
                <w:b w:val="0"/>
                <w:sz w:val="20"/>
              </w:rPr>
              <w:t>Because the conclusions that matter are distribution-free, and the only distribution-dependent outputs are the unreliable percentiles, the highest-value action is to measure the nine VVGS gaps directly with feeler gauges. Nine measurements turn the problem into a deterministic kinematic calculation — the exact polytope, its width, and the as-built offset of the vessel centre — with no prior to defend. As the reviewer notes, this is also less effort than building and justifying an input-uncertainty model. Each measured gap also tightens the conditional bound (§6); nine collapse it entirely.</w:t>
            </w:r>
          </w:p>
        </w:tc>
      </w:tr>
    </w:tbl>
    <w:p>
      <w:pPr>
        <w:spacing w:after="40"/>
      </w:pPr>
    </w:p>
    <w:p>
      <w:pPr>
        <w:spacing w:before="320" w:after="80"/>
        <w:pBdr>
          <w:bottom w:val="single" w:sz="6" w:space="2" w:color="2b5797"/>
        </w:pBdr>
      </w:pPr>
      <w:r>
        <w:rPr>
          <w:b/>
          <w:color w:val="2B5797"/>
          <w:sz w:val="28"/>
        </w:rPr>
        <w:t>13 — The 6 mm n ≤ 4 First-Wall Budget</w:t>
      </w:r>
    </w:p>
    <w:p>
      <w:pPr>
        <w:spacing w:after="120"/>
      </w:pPr>
      <w:r>
        <w:rPr>
          <w:b w:val="0"/>
          <w:sz w:val="21"/>
        </w:rPr>
        <w:t xml:space="preserve">The start-up heat-load criterion limits the peak-to-peak difference between the n ≤ 4 filtered first-wall profile and the n ≤ 4 filtered toroidal-field profile to </w:t>
      </w:r>
      <w:r>
        <w:rPr>
          <w:b/>
          <w:sz w:val="21"/>
        </w:rPr>
        <w:t>≤ 6 mm</w:t>
      </w:r>
      <w:r>
        <w:rPr>
          <w:b w:val="0"/>
          <w:sz w:val="21"/>
        </w:rPr>
        <w:t>. The VV n = 1 lateral displacement is one contributor — and the two bounds (§10) give two very different answers:</w:t>
      </w:r>
    </w:p>
    <w:tbl>
      <w:tblPr>
        <w:tblW w:type="auto" w:w="0"/>
        <w:jc w:val="center"/>
        <w:tblLook w:firstColumn="1" w:firstRow="1" w:lastColumn="0" w:lastRow="0" w:noHBand="0" w:noVBand="1" w:val="04A0"/>
      </w:tblPr>
      <w:tblGrid>
        <w:gridCol w:w="4320"/>
        <w:gridCol w:w="4320"/>
      </w:tblGrid>
      <w:tr>
        <w:tc>
          <w:tcPr>
            <w:tcW w:type="dxa" w:w="4320"/>
            <w:tcBorders>
              <w:top w:val="single" w:sz="8" w:color="888888"/>
              <w:bottom w:val="single" w:sz="6" w:color="888888"/>
              <w:left w:val="nil"/>
              <w:right w:val="nil"/>
            </w:tcBorders>
          </w:tcPr>
          <w:p>
            <w:pPr>
              <w:spacing w:before="0" w:after="40"/>
            </w:pPr>
            <w:r>
              <w:rPr>
                <w:b/>
                <w:color w:val="1A3A6E"/>
                <w:sz w:val="20"/>
              </w:rPr>
              <w:t>Picture</w:t>
            </w:r>
          </w:p>
        </w:tc>
        <w:tc>
          <w:tcPr>
            <w:tcW w:type="dxa" w:w="4320"/>
            <w:tcBorders>
              <w:top w:val="single" w:sz="8" w:color="888888"/>
              <w:bottom w:val="single" w:sz="6" w:color="888888"/>
              <w:left w:val="nil"/>
              <w:right w:val="nil"/>
            </w:tcBorders>
          </w:tcPr>
          <w:p>
            <w:pPr>
              <w:spacing w:before="0" w:after="40"/>
            </w:pPr>
            <w:r>
              <w:rPr>
                <w:b/>
                <w:color w:val="1A3A6E"/>
                <w:sz w:val="20"/>
              </w:rPr>
              <w:t>VV n = 1 contribution to the 6 mm budget</w:t>
            </w:r>
          </w:p>
        </w:tc>
      </w:tr>
      <w:tr>
        <w:tc>
          <w:tcPr>
            <w:tcW w:type="dxa" w:w="4320"/>
            <w:tcBorders>
              <w:top w:val="nil"/>
              <w:bottom w:val="nil"/>
              <w:left w:val="nil"/>
              <w:right w:val="nil"/>
            </w:tcBorders>
          </w:tcPr>
          <w:p>
            <w:pPr>
              <w:spacing w:before="0" w:after="40"/>
            </w:pPr>
            <w:r>
              <w:rPr>
                <w:b/>
                <w:sz w:val="20"/>
              </w:rPr>
              <w:t>Frictionless self-centring — at rest, between shots</w:t>
            </w:r>
          </w:p>
        </w:tc>
        <w:tc>
          <w:tcPr>
            <w:tcW w:type="dxa" w:w="4320"/>
            <w:tcBorders>
              <w:top w:val="nil"/>
              <w:bottom w:val="nil"/>
              <w:left w:val="nil"/>
              <w:right w:val="nil"/>
            </w:tcBorders>
          </w:tcPr>
          <w:p>
            <w:pPr>
              <w:spacing w:before="0" w:after="40"/>
            </w:pPr>
            <w:r>
              <w:rPr>
                <w:sz w:val="20"/>
              </w:rPr>
              <w:t>≈ 0 mm</w:t>
            </w:r>
          </w:p>
        </w:tc>
      </w:tr>
      <w:tr>
        <w:tc>
          <w:tcPr>
            <w:tcW w:type="dxa" w:w="4320"/>
            <w:tcBorders>
              <w:top w:val="nil"/>
              <w:bottom w:val="nil"/>
              <w:left w:val="nil"/>
              <w:right w:val="nil"/>
            </w:tcBorders>
          </w:tcPr>
          <w:p>
            <w:pPr>
              <w:spacing w:before="0" w:after="40"/>
            </w:pPr>
            <w:r>
              <w:rPr>
                <w:b/>
                <w:sz w:val="20"/>
              </w:rPr>
              <w:t>Start-up ramp (passive currents → wall follows TF)</w:t>
            </w:r>
          </w:p>
        </w:tc>
        <w:tc>
          <w:tcPr>
            <w:tcW w:type="dxa" w:w="4320"/>
            <w:tcBorders>
              <w:top w:val="nil"/>
              <w:bottom w:val="nil"/>
              <w:left w:val="nil"/>
              <w:right w:val="nil"/>
            </w:tcBorders>
          </w:tcPr>
          <w:p>
            <w:pPr>
              <w:spacing w:before="0" w:after="40"/>
            </w:pPr>
            <w:r>
              <w:rPr>
                <w:sz w:val="20"/>
              </w:rPr>
              <w:t>net reduces mismatch (kN, no slide)</w:t>
            </w:r>
          </w:p>
        </w:tc>
      </w:tr>
      <w:tr>
        <w:tc>
          <w:tcPr>
            <w:tcW w:type="dxa" w:w="4320"/>
            <w:tcBorders>
              <w:top w:val="nil"/>
              <w:bottom w:val="nil"/>
              <w:left w:val="nil"/>
              <w:right w:val="nil"/>
            </w:tcBorders>
          </w:tcPr>
          <w:p>
            <w:pPr>
              <w:spacing w:before="0" w:after="40"/>
            </w:pPr>
            <w:r>
              <w:rPr>
                <w:b/>
                <w:sz w:val="20"/>
              </w:rPr>
              <w:t>From-centre kinematic worst (forced, frictionless)</w:t>
            </w:r>
          </w:p>
        </w:tc>
        <w:tc>
          <w:tcPr>
            <w:tcW w:type="dxa" w:w="4320"/>
            <w:tcBorders>
              <w:top w:val="nil"/>
              <w:bottom w:val="nil"/>
              <w:left w:val="nil"/>
              <w:right w:val="nil"/>
            </w:tcBorders>
          </w:tcPr>
          <w:p>
            <w:pPr>
              <w:spacing w:before="0" w:after="40"/>
            </w:pPr>
            <w:r>
              <w:rPr>
                <w:sz w:val="20"/>
              </w:rPr>
              <w:t>≈ 2.98 mm</w:t>
            </w:r>
          </w:p>
        </w:tc>
      </w:tr>
      <w:tr>
        <w:tc>
          <w:tcPr>
            <w:tcW w:type="dxa" w:w="4320"/>
            <w:tcBorders>
              <w:top w:val="nil"/>
              <w:bottom w:val="single" w:sz="8" w:color="888888"/>
              <w:left w:val="nil"/>
              <w:right w:val="nil"/>
            </w:tcBorders>
          </w:tcPr>
          <w:p>
            <w:pPr>
              <w:spacing w:before="0" w:after="40"/>
            </w:pPr>
            <w:r>
              <w:rPr>
                <w:b/>
                <w:sz w:val="20"/>
              </w:rPr>
              <w:t>Stiction walk — realistic worst case (polytope width)</w:t>
            </w:r>
          </w:p>
        </w:tc>
        <w:tc>
          <w:tcPr>
            <w:tcW w:type="dxa" w:w="4320"/>
            <w:tcBorders>
              <w:top w:val="nil"/>
              <w:bottom w:val="single" w:sz="8" w:color="888888"/>
              <w:left w:val="nil"/>
              <w:right w:val="nil"/>
            </w:tcBorders>
          </w:tcPr>
          <w:p>
            <w:pPr>
              <w:spacing w:before="0" w:after="40"/>
            </w:pPr>
            <w:r>
              <w:rPr>
                <w:sz w:val="20"/>
              </w:rPr>
              <w:t>≈ 3.1 mm</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fill="fff0ee"/>
            <w:tcBorders>
              <w:left w:val="single" w:sz="24" w:color="cc2200"/>
            </w:tcBorders>
            <w:tcBorders>
              <w:top w:val="single" w:sz="4" w:color="fff0ee"/>
              <w:bottom w:val="single" w:sz="4" w:color="fff0ee"/>
              <w:right w:val="single" w:sz="4" w:color="fff0ee"/>
            </w:tcBorders>
          </w:tcPr>
          <w:p>
            <w:pPr>
              <w:spacing w:before="0" w:after="40"/>
            </w:pPr>
            <w:r>
              <w:rPr>
                <w:b/>
                <w:color w:val="CC2200"/>
              </w:rPr>
              <w:t xml:space="preserve">The realistic VV n = 1 contribution is up to ≈ 3 mm — about half the 6 mm budget — not ≈ 0.  </w:t>
            </w:r>
            <w:r>
              <w:rPr>
                <w:b w:val="0"/>
                <w:sz w:val="20"/>
              </w:rPr>
              <w:t>Because stiction prevents self-centring (§10), the vessel sits wherever it was last driven, anywhere within the ±-width polytope, until the gaps are measured or the supports are shimmed. The optimistic ≈ 0 mm (self-centred) value should not be assumed for the budget. The remaining ~3 mm is what is then available for the toroidal-field side (mainly TF vault closure n ≤ 4) and other first-wall contributors — a materially tighter allocation than the self-centred picture implies.</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fill="edf8ed"/>
            <w:tcBorders>
              <w:left w:val="single" w:sz="24" w:color="2a8a2a"/>
            </w:tcBorders>
            <w:tcBorders>
              <w:top w:val="single" w:sz="4" w:color="edf8ed"/>
              <w:bottom w:val="single" w:sz="4" w:color="edf8ed"/>
              <w:right w:val="single" w:sz="4" w:color="edf8ed"/>
            </w:tcBorders>
          </w:tcPr>
          <w:p>
            <w:pPr>
              <w:spacing w:before="0" w:after="40"/>
            </w:pPr>
            <w:r>
              <w:rPr>
                <w:b/>
                <w:color w:val="2A8A2A"/>
              </w:rPr>
              <w:t xml:space="preserve">How to recover budget.  </w:t>
            </w:r>
            <w:r>
              <w:rPr>
                <w:b w:val="0"/>
                <w:sz w:val="20"/>
              </w:rPr>
              <w:t>Measuring the nine gaps (§12) removes the distribution uncertainty and quantifies the as-built offset; shimming a support fixes its u_i and shrinks the reachable polytope (§6), pulling the realistic contribution back toward the nominal envelope. These are deterministic, low-effort levers — far more reliable than the unvalidated statistical bound.</w:t>
            </w:r>
          </w:p>
        </w:tc>
      </w:tr>
    </w:tbl>
    <w:p>
      <w:pPr>
        <w:spacing w:after="40"/>
      </w:pPr>
    </w:p>
    <w:p>
      <w:r>
        <w:rPr>
          <w:color w:val="555555"/>
          <w:sz w:val="16"/>
        </w:rPr>
        <w:t>Author: Simon McIntosh. Monte-Carlo data generated reproducibly by vv_mc_generator.py (scipy HiGHS LP, fixed seed 20260527 → committed data/). Departure-from-centre and polytope-width figures/animations by vv_viz.py and vv_rattle_figures.py; the stiction/thermal force ledger by vv_mechanics.py; displacements magnified ×500. Geometry &amp; centring (ITER VV Load Spec + mass table, ITER_D_6TLUDY): R_s ≈ 10 m, M ≈ 9000 t, 15° inclined dual-hinge → L_eff ≈ 26–32 m → K ≈ 2.7 kN/mm, T_n ≈ 11 s, F_stop ≈ 4.1 kN; per-VVGS dead-weight axial ≈ 10 MN, toroidal breakaway ≈ 1 MN. Every number regenerates from the repository. Source: Simon-McIntosh/vv.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gif"/><Relationship Id="rId10" Type="http://schemas.openxmlformats.org/officeDocument/2006/relationships/image" Target="media/image2.png"/><Relationship Id="rId11" Type="http://schemas.openxmlformats.org/officeDocument/2006/relationships/image" Target="media/image3.gif"/><Relationship Id="rId12" Type="http://schemas.openxmlformats.org/officeDocument/2006/relationships/image" Target="media/image4.gif"/><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gif"/><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