
<file path=[Content_Types].xml><?xml version="1.0" encoding="utf-8"?>
<Types xmlns="http://schemas.openxmlformats.org/package/2006/content-types">
  <Default Extension="gif" ContentType="image/gif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Bdr>
          <w:bottom w:val="single" w:sz="18" w:space="3" w:color="2b5797"/>
        </w:pBdr>
      </w:pPr>
      <w:r>
        <w:rPr>
          <w:b/>
          <w:color w:val="1A3A6E"/>
          <w:sz w:val="38"/>
        </w:rPr>
        <w:t>ITER Vacuum Vessel — Lateral Rattle Analysis</w:t>
      </w:r>
    </w:p>
    <w:p>
      <w:r>
        <w:rPr>
          <w:color w:val="555555"/>
          <w:sz w:val="17"/>
        </w:rPr>
        <w:t>Revised 2026-05-28  ·  5,000-sample Monte Carlo  ·  scipy HiGHS LP  ·  metric: max departure from gravitational centre (n=1 first-wall shift)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fff0ee"/>
            <w:tcBorders>
              <w:left w:val="single" w:sz="24" w:color="cc2200"/>
            </w:tcBorders>
            <w:tcBorders>
              <w:top w:val="single" w:sz="4" w:color="fff0ee"/>
              <w:bottom w:val="single" w:sz="4" w:color="fff0ee"/>
              <w:right w:val="single" w:sz="4" w:color="fff0ee"/>
            </w:tcBorders>
          </w:tcPr>
          <w:p>
            <w:pPr>
              <w:spacing w:before="0" w:after="40"/>
            </w:pPr>
            <w:r>
              <w:rPr>
                <w:b/>
                <w:color w:val="CC2200"/>
              </w:rPr>
              <w:t xml:space="preserve">Key result:  </w:t>
            </w:r>
            <w:r>
              <w:rPr>
                <w:b w:val="0"/>
                <w:sz w:val="20"/>
              </w:rPr>
              <w:t xml:space="preserve">The VV rests on 9 </w:t>
            </w:r>
            <w:r>
              <w:rPr>
                <w:b/>
                <w:sz w:val="20"/>
              </w:rPr>
              <w:t>inward-inclined dual-hinge gravity supports</w:t>
            </w:r>
            <w:r>
              <w:rPr>
                <w:b w:val="0"/>
                <w:sz w:val="20"/>
              </w:rPr>
              <w:t xml:space="preserve"> that act as a gravitational pendulum well in the lateral DOF — the vessel self-centres at rest. The relevant rattle metric is therefore the </w:t>
            </w:r>
            <w:r>
              <w:rPr>
                <w:b/>
                <w:sz w:val="20"/>
              </w:rPr>
              <w:t>maximum forced departure from the gravitational centre</w:t>
            </w:r>
            <w:r>
              <w:rPr>
                <w:b w:val="0"/>
                <w:sz w:val="20"/>
              </w:rPr>
              <w:t>. With the toroidal slot at ±1.5 mm (confirmed), nominal envelope = 1.547 mm; MC over independent assembly offsets gives P95 = 2.27 mm, P99 = 2.53 mm, median 1.53 mm, mode ≈ 1.49 mm, max ≈ 2.98 mm. Two EM cases drive forced departure: (a) the 0→3 MA, 10 s start-up ramp (lateral force comparable to the centering, near-resonant with the ~10 s natural period — peak excursions O(1 mm)); and (b) disruptions (MN-scale impulse → vessel velocity → impact at the dowel stops — potentially a bounding VVGS lateral load case).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edf8ed"/>
            <w:tcBorders>
              <w:left w:val="single" w:sz="24" w:color="2a8a2a"/>
            </w:tcBorders>
            <w:tcBorders>
              <w:top w:val="single" w:sz="4" w:color="edf8ed"/>
              <w:bottom w:val="single" w:sz="4" w:color="edf8ed"/>
              <w:right w:val="single" w:sz="4" w:color="edf8ed"/>
            </w:tcBorders>
          </w:tcPr>
          <w:p>
            <w:pPr>
              <w:spacing w:before="0" w:after="40"/>
            </w:pPr>
            <w:r>
              <w:rPr>
                <w:b/>
                <w:color w:val="2A8A2A"/>
              </w:rPr>
              <w:t xml:space="preserve">Slot allowance — confirmed:  </w:t>
            </w:r>
            <w:r>
              <w:rPr>
                <w:b w:val="0"/>
                <w:sz w:val="20"/>
              </w:rPr>
              <w:t xml:space="preserve">toroidal slot allowance </w:t>
            </w:r>
            <w:r>
              <w:rPr>
                <w:b/>
                <w:sz w:val="20"/>
              </w:rPr>
              <w:t>±1.5 mm (3 mm total)</w:t>
            </w:r>
            <w:r>
              <w:rPr>
                <w:b w:val="0"/>
                <w:sz w:val="20"/>
              </w:rPr>
              <w:t>, confirmed against the GS design. All numbers below use this value; they scale linearly with the slot.</w:t>
            </w:r>
          </w:p>
        </w:tc>
      </w:tr>
    </w:tbl>
    <w:p>
      <w:pPr>
        <w:spacing w:after="40"/>
      </w:pPr>
    </w:p>
    <w:p>
      <w:pPr>
        <w:spacing w:before="320" w:after="80"/>
        <w:pBdr>
          <w:bottom w:val="single" w:sz="6" w:space="2" w:color="2b5797"/>
        </w:pBdr>
      </w:pPr>
      <w:r>
        <w:rPr>
          <w:b/>
          <w:color w:val="2B5797"/>
          <w:sz w:val="28"/>
        </w:rPr>
        <w:t>1 — Physical mechanism: the inclined-hinge VVGS</w:t>
      </w:r>
    </w:p>
    <w:p>
      <w:pPr>
        <w:spacing w:after="120"/>
      </w:pPr>
      <w:r>
        <w:rPr>
          <w:b w:val="0"/>
          <w:sz w:val="21"/>
        </w:rPr>
        <w:t xml:space="preserve">Each of the 9 gravity supports is a </w:t>
      </w:r>
      <w:r>
        <w:rPr>
          <w:b/>
          <w:sz w:val="21"/>
        </w:rPr>
        <w:t>dual-hinge mechanism inclined at 15° from vertical</w:t>
      </w:r>
      <w:r>
        <w:rPr>
          <w:b w:val="0"/>
          <w:sz w:val="21"/>
        </w:rPr>
        <w:t xml:space="preserve">, leaning inward. The dual hinges permit radial motion (thermal expansion via dowel rotation) while the dowels' rigidity restrains toroidal motion to the ±1.5 mm slot. The inward inclination is deliberate: it puts the supports' common convergence point above the vessel CoG, so the vessel behaves as an inclined-hinge </w:t>
      </w:r>
      <w:r>
        <w:rPr>
          <w:b/>
          <w:sz w:val="21"/>
        </w:rPr>
        <w:t>gravitational pendulum</w:t>
      </w:r>
      <w:r>
        <w:rPr>
          <w:b w:val="0"/>
          <w:sz w:val="21"/>
        </w:rPr>
        <w:t xml:space="preserve"> — the radial/lateral DOF sits in a parabolic potential well centred on the nominal position.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fill="2b5797"/>
            <w:tcBorders>
              <w:top w:val="single" w:sz="4" w:color="2b5797"/>
              <w:bottom w:val="single" w:sz="4" w:color="2b5797"/>
              <w:left w:val="single" w:sz="4" w:color="2b5797"/>
              <w:right w:val="single" w:sz="4" w:color="2b5797"/>
            </w:tcBorders>
          </w:tcPr>
          <w:p>
            <w:pPr>
              <w:spacing w:before="0" w:after="40"/>
            </w:pPr>
            <w:r>
              <w:rPr>
                <w:b/>
                <w:color w:val="FFFFFF"/>
                <w:sz w:val="19"/>
              </w:rPr>
              <w:t>Quantity</w:t>
            </w:r>
          </w:p>
        </w:tc>
        <w:tc>
          <w:tcPr>
            <w:tcW w:type="dxa" w:w="2880"/>
            <w:shd w:val="clear" w:fill="2b5797"/>
            <w:tcBorders>
              <w:top w:val="single" w:sz="4" w:color="2b5797"/>
              <w:bottom w:val="single" w:sz="4" w:color="2b5797"/>
              <w:left w:val="single" w:sz="4" w:color="2b5797"/>
              <w:right w:val="single" w:sz="4" w:color="2b5797"/>
            </w:tcBorders>
          </w:tcPr>
          <w:p>
            <w:pPr>
              <w:spacing w:before="0" w:after="40"/>
            </w:pPr>
            <w:r>
              <w:rPr>
                <w:b/>
                <w:color w:val="FFFFFF"/>
                <w:sz w:val="19"/>
              </w:rPr>
              <w:t>Value</w:t>
            </w:r>
          </w:p>
        </w:tc>
        <w:tc>
          <w:tcPr>
            <w:tcW w:type="dxa" w:w="2880"/>
            <w:shd w:val="clear" w:fill="2b5797"/>
            <w:tcBorders>
              <w:top w:val="single" w:sz="4" w:color="2b5797"/>
              <w:bottom w:val="single" w:sz="4" w:color="2b5797"/>
              <w:left w:val="single" w:sz="4" w:color="2b5797"/>
              <w:right w:val="single" w:sz="4" w:color="2b5797"/>
            </w:tcBorders>
          </w:tcPr>
          <w:p>
            <w:pPr>
              <w:spacing w:before="0" w:after="40"/>
            </w:pPr>
            <w:r>
              <w:rPr>
                <w:b/>
                <w:color w:val="FFFFFF"/>
                <w:sz w:val="19"/>
              </w:rPr>
              <w:t>Notes</w:t>
            </w:r>
          </w:p>
        </w:tc>
      </w:tr>
      <w:tr>
        <w:tc>
          <w:tcPr>
            <w:tcW w:type="dxa" w:w="2880"/>
            <w:shd w:val="clear" w:fill="ffffff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</w:tcPr>
          <w:p>
            <w:pPr>
              <w:spacing w:before="0" w:after="40"/>
            </w:pPr>
            <w:r>
              <w:rPr>
                <w:b/>
                <w:sz w:val="19"/>
              </w:rPr>
              <w:t>Effective pendulum length L_eff</w:t>
            </w:r>
          </w:p>
        </w:tc>
        <w:tc>
          <w:tcPr>
            <w:tcW w:type="dxa" w:w="2880"/>
            <w:shd w:val="clear" w:fill="ffffff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</w:tcPr>
          <w:p>
            <w:pPr>
              <w:spacing w:before="0" w:after="40"/>
            </w:pPr>
            <w:r>
              <w:rPr>
                <w:sz w:val="19"/>
              </w:rPr>
              <w:t>≈ 26 m</w:t>
            </w:r>
          </w:p>
        </w:tc>
        <w:tc>
          <w:tcPr>
            <w:tcW w:type="dxa" w:w="2880"/>
            <w:shd w:val="clear" w:fill="ffffff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</w:tcPr>
          <w:p>
            <w:pPr>
              <w:spacing w:before="0" w:after="40"/>
            </w:pPr>
            <w:r>
              <w:rPr>
                <w:sz w:val="19"/>
              </w:rPr>
              <w:t>= R_s / tan(15°) − z_CoG ; sensitive to angle (~2 m / °)</w:t>
            </w:r>
          </w:p>
        </w:tc>
      </w:tr>
      <w:tr>
        <w:tc>
          <w:tcPr>
            <w:tcW w:type="dxa" w:w="2880"/>
            <w:shd w:val="clear" w:fill="f4f7ff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</w:tcPr>
          <w:p>
            <w:pPr>
              <w:spacing w:before="0" w:after="40"/>
            </w:pPr>
            <w:r>
              <w:rPr>
                <w:b/>
                <w:sz w:val="19"/>
              </w:rPr>
              <w:t>Lateral stiffness K = W / L_eff</w:t>
            </w:r>
          </w:p>
        </w:tc>
        <w:tc>
          <w:tcPr>
            <w:tcW w:type="dxa" w:w="2880"/>
            <w:shd w:val="clear" w:fill="f4f7ff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</w:tcPr>
          <w:p>
            <w:pPr>
              <w:spacing w:before="0" w:after="40"/>
            </w:pPr>
            <w:r>
              <w:rPr>
                <w:sz w:val="19"/>
              </w:rPr>
              <w:t>≈ 3.0 kN / mm</w:t>
            </w:r>
          </w:p>
        </w:tc>
        <w:tc>
          <w:tcPr>
            <w:tcW w:type="dxa" w:w="2880"/>
            <w:shd w:val="clear" w:fill="f4f7ff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</w:tcPr>
          <w:p>
            <w:pPr>
              <w:spacing w:before="0" w:after="40"/>
            </w:pPr>
            <w:r>
              <w:rPr>
                <w:sz w:val="19"/>
              </w:rPr>
              <w:t>with M ≈ 8000 t (VV + in-vessel)</w:t>
            </w:r>
          </w:p>
        </w:tc>
      </w:tr>
      <w:tr>
        <w:tc>
          <w:tcPr>
            <w:tcW w:type="dxa" w:w="2880"/>
            <w:shd w:val="clear" w:fill="ffffff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</w:tcPr>
          <w:p>
            <w:pPr>
              <w:spacing w:before="0" w:after="40"/>
            </w:pPr>
            <w:r>
              <w:rPr>
                <w:b/>
                <w:sz w:val="19"/>
              </w:rPr>
              <w:t>Natural period T_n</w:t>
            </w:r>
          </w:p>
        </w:tc>
        <w:tc>
          <w:tcPr>
            <w:tcW w:type="dxa" w:w="2880"/>
            <w:shd w:val="clear" w:fill="ffffff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</w:tcPr>
          <w:p>
            <w:pPr>
              <w:spacing w:before="0" w:after="40"/>
            </w:pPr>
            <w:r>
              <w:rPr>
                <w:sz w:val="19"/>
              </w:rPr>
              <w:t>≈ 10 s (f ≈ 0.1 Hz)</w:t>
            </w:r>
          </w:p>
        </w:tc>
        <w:tc>
          <w:tcPr>
            <w:tcW w:type="dxa" w:w="2880"/>
            <w:shd w:val="clear" w:fill="ffffff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</w:tcPr>
          <w:p>
            <w:pPr>
              <w:spacing w:before="0" w:after="40"/>
            </w:pPr>
            <w:r>
              <w:rPr>
                <w:sz w:val="19"/>
              </w:rPr>
              <w:t>depends on L_eff only, not on M</w:t>
            </w:r>
          </w:p>
        </w:tc>
      </w:tr>
      <w:tr>
        <w:tc>
          <w:tcPr>
            <w:tcW w:type="dxa" w:w="2880"/>
            <w:shd w:val="clear" w:fill="f4f7ff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</w:tcPr>
          <w:p>
            <w:pPr>
              <w:spacing w:before="0" w:after="40"/>
            </w:pPr>
            <w:r>
              <w:rPr>
                <w:b/>
                <w:sz w:val="19"/>
              </w:rPr>
              <w:t>Force to reach the ±1.5 mm stop</w:t>
            </w:r>
          </w:p>
        </w:tc>
        <w:tc>
          <w:tcPr>
            <w:tcW w:type="dxa" w:w="2880"/>
            <w:shd w:val="clear" w:fill="f4f7ff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</w:tcPr>
          <w:p>
            <w:pPr>
              <w:spacing w:before="0" w:after="40"/>
            </w:pPr>
            <w:r>
              <w:rPr>
                <w:sz w:val="19"/>
              </w:rPr>
              <w:t>≈ 4.5 kN</w:t>
            </w:r>
          </w:p>
        </w:tc>
        <w:tc>
          <w:tcPr>
            <w:tcW w:type="dxa" w:w="2880"/>
            <w:shd w:val="clear" w:fill="f4f7ff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</w:tcPr>
          <w:p>
            <w:pPr>
              <w:spacing w:before="0" w:after="40"/>
            </w:pPr>
            <w:r>
              <w:rPr>
                <w:sz w:val="19"/>
              </w:rPr>
              <w:t>≈ 6×10⁻⁵ of the 78 MN weight</w:t>
            </w:r>
          </w:p>
        </w:tc>
      </w:tr>
      <w:tr>
        <w:tc>
          <w:tcPr>
            <w:tcW w:type="dxa" w:w="2880"/>
            <w:shd w:val="clear" w:fill="ffffff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</w:tcPr>
          <w:p>
            <w:pPr>
              <w:spacing w:before="0" w:after="40"/>
            </w:pPr>
            <w:r>
              <w:rPr>
                <w:b/>
                <w:sz w:val="19"/>
              </w:rPr>
              <w:t>Rest position (no lateral force)</w:t>
            </w:r>
          </w:p>
        </w:tc>
        <w:tc>
          <w:tcPr>
            <w:tcW w:type="dxa" w:w="2880"/>
            <w:shd w:val="clear" w:fill="ffffff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</w:tcPr>
          <w:p>
            <w:pPr>
              <w:spacing w:before="0" w:after="40"/>
            </w:pPr>
            <w:r>
              <w:rPr>
                <w:sz w:val="19"/>
              </w:rPr>
              <w:t>q* = 0 (centred)</w:t>
            </w:r>
          </w:p>
        </w:tc>
        <w:tc>
          <w:tcPr>
            <w:tcW w:type="dxa" w:w="2880"/>
            <w:shd w:val="clear" w:fill="ffffff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</w:tcPr>
          <w:p>
            <w:pPr>
              <w:spacing w:before="0" w:after="40"/>
            </w:pPr>
            <w:r>
              <w:rPr>
                <w:sz w:val="19"/>
              </w:rPr>
              <w:t>gravitational PE minimum</w:t>
            </w:r>
          </w:p>
        </w:tc>
      </w:tr>
    </w:tbl>
    <w:p>
      <w:pPr>
        <w:spacing w:after="40"/>
      </w:pPr>
    </w:p>
    <w:p>
      <w:pPr>
        <w:spacing w:before="320" w:after="80"/>
        <w:pBdr>
          <w:bottom w:val="single" w:sz="6" w:space="2" w:color="2b5797"/>
        </w:pBdr>
      </w:pPr>
      <w:r>
        <w:rPr>
          <w:b/>
          <w:color w:val="2B5797"/>
          <w:sz w:val="28"/>
        </w:rPr>
        <w:t>2 — How the centering force reframes the analysis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e8efff"/>
            <w:tcBorders>
              <w:left w:val="single" w:sz="24" w:color="2255aa"/>
            </w:tcBorders>
            <w:tcBorders>
              <w:top w:val="single" w:sz="4" w:color="e8efff"/>
              <w:bottom w:val="single" w:sz="4" w:color="e8efff"/>
              <w:right w:val="single" w:sz="4" w:color="e8efff"/>
            </w:tcBorders>
          </w:tcPr>
          <w:p>
            <w:pPr>
              <w:spacing w:before="0" w:after="40"/>
            </w:pPr>
            <w:r>
              <w:rPr>
                <w:b/>
                <w:color w:val="2255AA"/>
              </w:rPr>
              <w:t xml:space="preserve">Self-centred rest position:  </w:t>
            </w:r>
            <w:r>
              <w:rPr>
                <w:b w:val="0"/>
                <w:sz w:val="20"/>
              </w:rPr>
              <w:t xml:space="preserve">At rest the vessel self-centres to q = 0 regardless of the toroidal assembly offsets — the pins simply sit at u_i in their ±1.5 mm slots while the vessel is centred. The relevant metric is no longer the peak-to-peak range but the </w:t>
            </w:r>
            <w:r>
              <w:rPr>
                <w:b/>
                <w:sz w:val="20"/>
              </w:rPr>
              <w:t>max one-sided departure from the gravitational centre</w:t>
            </w:r>
            <w:r>
              <w:rPr>
                <w:b w:val="0"/>
                <w:sz w:val="20"/>
              </w:rPr>
              <w:t xml:space="preserve"> under sufficient lateral force; this is bounded by the kinematic polytope.</w:t>
            </w:r>
          </w:p>
        </w:tc>
      </w:tr>
    </w:tbl>
    <w:p>
      <w:pPr>
        <w:spacing w:after="40"/>
      </w:pPr>
    </w:p>
    <w:p>
      <w:pPr>
        <w:spacing w:before="320" w:after="80"/>
        <w:pBdr>
          <w:bottom w:val="single" w:sz="6" w:space="2" w:color="2b5797"/>
        </w:pBdr>
      </w:pPr>
      <w:r>
        <w:rPr>
          <w:b/>
          <w:color w:val="2B5797"/>
          <w:sz w:val="28"/>
        </w:rPr>
        <w:t>3 — The number: max departure from centre (MC)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fill="2b5797"/>
            <w:tcBorders>
              <w:top w:val="single" w:sz="4" w:color="2b5797"/>
              <w:bottom w:val="single" w:sz="4" w:color="2b5797"/>
              <w:left w:val="single" w:sz="4" w:color="2b5797"/>
              <w:right w:val="single" w:sz="4" w:color="2b5797"/>
            </w:tcBorders>
          </w:tcPr>
          <w:p>
            <w:pPr>
              <w:spacing w:before="0" w:after="40"/>
            </w:pPr>
            <w:r>
              <w:rPr>
                <w:b/>
                <w:color w:val="FFFFFF"/>
                <w:sz w:val="19"/>
              </w:rPr>
              <w:t>Statistic</w:t>
            </w:r>
          </w:p>
        </w:tc>
        <w:tc>
          <w:tcPr>
            <w:tcW w:type="dxa" w:w="2880"/>
            <w:shd w:val="clear" w:fill="2b5797"/>
            <w:tcBorders>
              <w:top w:val="single" w:sz="4" w:color="2b5797"/>
              <w:bottom w:val="single" w:sz="4" w:color="2b5797"/>
              <w:left w:val="single" w:sz="4" w:color="2b5797"/>
              <w:right w:val="single" w:sz="4" w:color="2b5797"/>
            </w:tcBorders>
          </w:tcPr>
          <w:p>
            <w:pPr>
              <w:spacing w:before="0" w:after="40"/>
            </w:pPr>
            <w:r>
              <w:rPr>
                <w:b/>
                <w:color w:val="FFFFFF"/>
                <w:sz w:val="19"/>
              </w:rPr>
              <w:t>Departure (mm)</w:t>
            </w:r>
          </w:p>
        </w:tc>
        <w:tc>
          <w:tcPr>
            <w:tcW w:type="dxa" w:w="2880"/>
            <w:shd w:val="clear" w:fill="2b5797"/>
            <w:tcBorders>
              <w:top w:val="single" w:sz="4" w:color="2b5797"/>
              <w:bottom w:val="single" w:sz="4" w:color="2b5797"/>
              <w:left w:val="single" w:sz="4" w:color="2b5797"/>
              <w:right w:val="single" w:sz="4" w:color="2b5797"/>
            </w:tcBorders>
          </w:tcPr>
          <w:p>
            <w:pPr>
              <w:spacing w:before="0" w:after="40"/>
            </w:pPr>
            <w:r>
              <w:rPr>
                <w:b/>
                <w:color w:val="FFFFFF"/>
                <w:sz w:val="19"/>
              </w:rPr>
              <w:t>Notes</w:t>
            </w:r>
          </w:p>
        </w:tc>
      </w:tr>
      <w:tr>
        <w:tc>
          <w:tcPr>
            <w:tcW w:type="dxa" w:w="2880"/>
            <w:shd w:val="clear" w:fill="ffffff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</w:tcPr>
          <w:p>
            <w:pPr>
              <w:spacing w:before="0" w:after="40"/>
            </w:pPr>
            <w:r>
              <w:rPr>
                <w:b/>
                <w:sz w:val="19"/>
              </w:rPr>
              <w:t>Nominal (u = 0)</w:t>
            </w:r>
          </w:p>
        </w:tc>
        <w:tc>
          <w:tcPr>
            <w:tcW w:type="dxa" w:w="2880"/>
            <w:shd w:val="clear" w:fill="ffffff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</w:tcPr>
          <w:p>
            <w:pPr>
              <w:spacing w:before="0" w:after="40"/>
            </w:pPr>
            <w:r>
              <w:rPr>
                <w:sz w:val="19"/>
              </w:rPr>
              <w:t>1.547</w:t>
            </w:r>
          </w:p>
        </w:tc>
        <w:tc>
          <w:tcPr>
            <w:tcW w:type="dxa" w:w="2880"/>
            <w:shd w:val="clear" w:fill="ffffff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</w:tcPr>
          <w:p>
            <w:pPr>
              <w:spacing w:before="0" w:after="40"/>
            </w:pPr>
            <w:r>
              <w:rPr>
                <w:sz w:val="19"/>
              </w:rPr>
              <w:t>Symmetric envelope half-width</w:t>
            </w:r>
          </w:p>
        </w:tc>
      </w:tr>
      <w:tr>
        <w:tc>
          <w:tcPr>
            <w:tcW w:type="dxa" w:w="2880"/>
            <w:shd w:val="clear" w:fill="f4f7ff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</w:tcPr>
          <w:p>
            <w:pPr>
              <w:spacing w:before="0" w:after="40"/>
            </w:pPr>
            <w:r>
              <w:rPr>
                <w:b/>
                <w:sz w:val="19"/>
              </w:rPr>
              <w:t>Mode</w:t>
            </w:r>
          </w:p>
        </w:tc>
        <w:tc>
          <w:tcPr>
            <w:tcW w:type="dxa" w:w="2880"/>
            <w:shd w:val="clear" w:fill="f4f7ff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</w:tcPr>
          <w:p>
            <w:pPr>
              <w:spacing w:before="0" w:after="40"/>
            </w:pPr>
            <w:r>
              <w:rPr>
                <w:sz w:val="19"/>
              </w:rPr>
              <w:t>1.49</w:t>
            </w:r>
          </w:p>
        </w:tc>
        <w:tc>
          <w:tcPr>
            <w:tcW w:type="dxa" w:w="2880"/>
            <w:shd w:val="clear" w:fill="f4f7ff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</w:tcPr>
          <w:p>
            <w:pPr>
              <w:spacing w:before="0" w:after="40"/>
            </w:pPr>
            <w:r>
              <w:rPr>
                <w:sz w:val="19"/>
              </w:rPr>
              <w:t>Most probable as-built value</w:t>
            </w:r>
          </w:p>
        </w:tc>
      </w:tr>
      <w:tr>
        <w:tc>
          <w:tcPr>
            <w:tcW w:type="dxa" w:w="2880"/>
            <w:shd w:val="clear" w:fill="ffffff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</w:tcPr>
          <w:p>
            <w:pPr>
              <w:spacing w:before="0" w:after="40"/>
            </w:pPr>
            <w:r>
              <w:rPr>
                <w:b/>
                <w:sz w:val="19"/>
              </w:rPr>
              <w:t>Median (P50)</w:t>
            </w:r>
          </w:p>
        </w:tc>
        <w:tc>
          <w:tcPr>
            <w:tcW w:type="dxa" w:w="2880"/>
            <w:shd w:val="clear" w:fill="ffffff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</w:tcPr>
          <w:p>
            <w:pPr>
              <w:spacing w:before="0" w:after="40"/>
            </w:pPr>
            <w:r>
              <w:rPr>
                <w:sz w:val="19"/>
              </w:rPr>
              <w:t>1.53</w:t>
            </w:r>
          </w:p>
        </w:tc>
        <w:tc>
          <w:tcPr>
            <w:tcW w:type="dxa" w:w="2880"/>
            <w:shd w:val="clear" w:fill="ffffff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</w:tcPr>
          <w:p>
            <w:pPr>
              <w:spacing w:before="0" w:after="40"/>
            </w:pPr>
            <w:r>
              <w:rPr>
                <w:sz w:val="19"/>
              </w:rPr>
              <w:t>Typical random assembly</w:t>
            </w:r>
          </w:p>
        </w:tc>
      </w:tr>
      <w:tr>
        <w:tc>
          <w:tcPr>
            <w:tcW w:type="dxa" w:w="2880"/>
            <w:shd w:val="clear" w:fill="f4f7ff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</w:tcPr>
          <w:p>
            <w:pPr>
              <w:spacing w:before="0" w:after="40"/>
            </w:pPr>
            <w:r>
              <w:rPr>
                <w:b/>
                <w:sz w:val="19"/>
              </w:rPr>
              <w:t>P95</w:t>
            </w:r>
          </w:p>
        </w:tc>
        <w:tc>
          <w:tcPr>
            <w:tcW w:type="dxa" w:w="2880"/>
            <w:shd w:val="clear" w:fill="f4f7ff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</w:tcPr>
          <w:p>
            <w:pPr>
              <w:spacing w:before="0" w:after="40"/>
            </w:pPr>
            <w:r>
              <w:rPr>
                <w:sz w:val="19"/>
              </w:rPr>
              <w:t>2.27</w:t>
            </w:r>
          </w:p>
        </w:tc>
        <w:tc>
          <w:tcPr>
            <w:tcW w:type="dxa" w:w="2880"/>
            <w:shd w:val="clear" w:fill="f4f7ff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</w:tcPr>
          <w:p>
            <w:pPr>
              <w:spacing w:before="0" w:after="40"/>
            </w:pPr>
            <w:r>
              <w:rPr>
                <w:sz w:val="19"/>
              </w:rPr>
              <w:t>95th percentile</w:t>
            </w:r>
          </w:p>
        </w:tc>
      </w:tr>
      <w:tr>
        <w:tc>
          <w:tcPr>
            <w:tcW w:type="dxa" w:w="2880"/>
            <w:shd w:val="clear" w:fill="ffffff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</w:tcPr>
          <w:p>
            <w:pPr>
              <w:spacing w:before="0" w:after="40"/>
            </w:pPr>
            <w:r>
              <w:rPr>
                <w:b/>
                <w:sz w:val="19"/>
              </w:rPr>
              <w:t>P99</w:t>
            </w:r>
          </w:p>
        </w:tc>
        <w:tc>
          <w:tcPr>
            <w:tcW w:type="dxa" w:w="2880"/>
            <w:shd w:val="clear" w:fill="ffffff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</w:tcPr>
          <w:p>
            <w:pPr>
              <w:spacing w:before="0" w:after="40"/>
            </w:pPr>
            <w:r>
              <w:rPr>
                <w:sz w:val="19"/>
              </w:rPr>
              <w:t>2.53</w:t>
            </w:r>
          </w:p>
        </w:tc>
        <w:tc>
          <w:tcPr>
            <w:tcW w:type="dxa" w:w="2880"/>
            <w:shd w:val="clear" w:fill="ffffff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</w:tcPr>
          <w:p>
            <w:pPr>
              <w:spacing w:before="0" w:after="40"/>
            </w:pPr>
            <w:r>
              <w:rPr>
                <w:sz w:val="19"/>
              </w:rPr>
            </w:r>
          </w:p>
        </w:tc>
      </w:tr>
      <w:tr>
        <w:tc>
          <w:tcPr>
            <w:tcW w:type="dxa" w:w="2880"/>
            <w:shd w:val="clear" w:fill="f4f7ff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</w:tcPr>
          <w:p>
            <w:pPr>
              <w:spacing w:before="0" w:after="40"/>
            </w:pPr>
            <w:r>
              <w:rPr>
                <w:b/>
                <w:sz w:val="19"/>
              </w:rPr>
              <w:t>Max observed</w:t>
            </w:r>
          </w:p>
        </w:tc>
        <w:tc>
          <w:tcPr>
            <w:tcW w:type="dxa" w:w="2880"/>
            <w:shd w:val="clear" w:fill="f4f7ff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</w:tcPr>
          <w:p>
            <w:pPr>
              <w:spacing w:before="0" w:after="40"/>
            </w:pPr>
            <w:r>
              <w:rPr>
                <w:sz w:val="19"/>
              </w:rPr>
              <w:t>2.98</w:t>
            </w:r>
          </w:p>
        </w:tc>
        <w:tc>
          <w:tcPr>
            <w:tcW w:type="dxa" w:w="2880"/>
            <w:shd w:val="clear" w:fill="f4f7ff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</w:tcPr>
          <w:p>
            <w:pPr>
              <w:spacing w:before="0" w:after="40"/>
            </w:pPr>
            <w:r>
              <w:rPr>
                <w:sz w:val="19"/>
              </w:rPr>
              <w:t>Kinematic ceiling on forced departure</w:t>
            </w:r>
          </w:p>
        </w:tc>
      </w:tr>
    </w:tbl>
    <w:p>
      <w:pPr>
        <w:spacing w:after="40"/>
      </w:pP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852160" cy="236972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c_dashboard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23697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color w:val="555555"/>
          <w:sz w:val="17"/>
        </w:rPr>
        <w:t>Departure-from-centre distribution and CDF. Nominal (u=0) gives the symmetric envelope; offset assemblies reach further from the gravitational centre.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e8efff"/>
            <w:tcBorders>
              <w:left w:val="single" w:sz="24" w:color="2255aa"/>
            </w:tcBorders>
            <w:tcBorders>
              <w:top w:val="single" w:sz="4" w:color="e8efff"/>
              <w:bottom w:val="single" w:sz="4" w:color="e8efff"/>
              <w:right w:val="single" w:sz="4" w:color="e8efff"/>
            </w:tcBorders>
          </w:tcPr>
          <w:p>
            <w:pPr>
              <w:spacing w:before="0" w:after="40"/>
            </w:pPr>
            <w:r>
              <w:rPr>
                <w:b/>
                <w:color w:val="2255AA"/>
              </w:rPr>
              <w:t xml:space="preserve">This is the n = 1 wall budget input:  </w:t>
            </w:r>
            <w:r>
              <w:rPr>
                <w:b w:val="0"/>
                <w:sz w:val="20"/>
              </w:rPr>
              <w:t>Quiescent (no significant lateral load) the vessel sits at the gravitational centre — n = 1 wall contribution ≈ 0. Under forced load the vessel departs from centre up to the polytope boundary — the MC bounds that kinematic ceiling.</w:t>
            </w:r>
          </w:p>
        </w:tc>
      </w:tr>
    </w:tbl>
    <w:p>
      <w:pPr>
        <w:spacing w:after="40"/>
      </w:pPr>
    </w:p>
    <w:p>
      <w:pPr>
        <w:spacing w:before="320" w:after="80"/>
        <w:pBdr>
          <w:bottom w:val="single" w:sz="6" w:space="2" w:color="2b5797"/>
        </w:pBdr>
      </w:pPr>
      <w:r>
        <w:rPr>
          <w:b/>
          <w:color w:val="2B5797"/>
          <w:sz w:val="28"/>
        </w:rPr>
        <w:t>4 — Forced excursion: worst &amp;amp; typical assembly</w:t>
      </w:r>
    </w:p>
    <w:p>
      <w:pPr>
        <w:spacing w:after="120"/>
      </w:pPr>
      <w:r>
        <w:rPr>
          <w:b w:val="0"/>
          <w:sz w:val="21"/>
        </w:rPr>
        <w:t>The animations show the VV rocked through its polytope along the principal axis — the kinematic envelope of possible forced motion about the centre. At rest the vessel sits at the mid-frame (q = 0); under sufficient lateral force it can be driven to the extremes. ×1500 magnification.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e8efff"/>
            <w:tcBorders>
              <w:left w:val="single" w:sz="24" w:color="2255aa"/>
            </w:tcBorders>
            <w:tcBorders>
              <w:top w:val="single" w:sz="4" w:color="e8efff"/>
              <w:bottom w:val="single" w:sz="4" w:color="e8efff"/>
              <w:right w:val="single" w:sz="4" w:color="e8efff"/>
            </w:tcBorders>
          </w:tcPr>
          <w:p>
            <w:pPr>
              <w:spacing w:before="0" w:after="40"/>
            </w:pPr>
            <w:r>
              <w:rPr>
                <w:b/>
                <w:color w:val="2255AA"/>
              </w:rPr>
              <w:t xml:space="preserve">Reading the supports:  </w:t>
            </w:r>
            <w:r>
              <w:rPr>
                <w:b w:val="0"/>
                <w:sz w:val="20"/>
              </w:rPr>
              <w:t>Each grey toroidal slot stays at constant radial distance from the wall — the four-bar linkage moves radially with the vessel. The coloured pin shows the toroidal-constraint usage (blue = slack, orange = near limit, red = at stop).</w:t>
            </w:r>
          </w:p>
        </w:tc>
      </w:tr>
    </w:tbl>
    <w:p>
      <w:pPr>
        <w:spacing w:after="40"/>
      </w:pP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3291840" cy="329184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attle_worst_case.gif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291840" cy="32918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color w:val="555555"/>
          <w:sz w:val="17"/>
        </w:rPr>
        <w:t>Worst MC sample — max departure ≈ 2.98 mm (polytope diameter ≈ 3.09 mm). [GIF first frame]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852160" cy="1238414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rip_worst_translation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12384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color w:val="555555"/>
          <w:sz w:val="17"/>
        </w:rPr>
        <w:t>Worst-case key frames (×1500 magnification).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3291840" cy="329184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attle_mode.gif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291840" cy="32918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color w:val="555555"/>
          <w:sz w:val="17"/>
        </w:rPr>
        <w:t>Typical as-built assembly (near the distribution mode) — max departure ≈ 1.49 mm (the most likely value). [GIF first frame]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852160" cy="1238414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rip_mode_translation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12384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color w:val="555555"/>
          <w:sz w:val="17"/>
        </w:rPr>
        <w:t>Near-mode (typical assembly) key frames (×1500 magnification).</w:t>
      </w:r>
    </w:p>
    <w:p>
      <w:pPr>
        <w:spacing w:before="320" w:after="80"/>
        <w:pBdr>
          <w:bottom w:val="single" w:sz="6" w:space="2" w:color="2b5797"/>
        </w:pBdr>
      </w:pPr>
      <w:r>
        <w:rPr>
          <w:b/>
          <w:color w:val="2B5797"/>
          <w:sz w:val="28"/>
        </w:rPr>
        <w:t>5 — Effect of gap measurements (now much more powerful)</w:t>
      </w:r>
    </w:p>
    <w:p>
      <w:pPr>
        <w:spacing w:after="120"/>
      </w:pPr>
      <w:r>
        <w:rPr>
          <w:b w:val="0"/>
          <w:sz w:val="21"/>
        </w:rPr>
        <w:t xml:space="preserve">Important reversal from the previous diameter framing: the polytope diameter is set by the 3 mm slot and is essentially insensitive to the assembly offsets, but the </w:t>
      </w:r>
      <w:r>
        <w:rPr>
          <w:b/>
          <w:sz w:val="21"/>
        </w:rPr>
        <w:t>departure from centre</w:t>
      </w:r>
      <w:r>
        <w:rPr>
          <w:b w:val="0"/>
          <w:sz w:val="21"/>
        </w:rPr>
        <w:t xml:space="preserve"> is governed by how far the polytope is offset from q = 0 — exactly what the u_i set — so each measured gap directly tightens the conditional departure distribution. AᵀA is exactly diagonal so adjacency is irrelevant; only the </w:t>
      </w:r>
      <w:r>
        <w:rPr>
          <w:b/>
          <w:sz w:val="21"/>
        </w:rPr>
        <w:t>number</w:t>
      </w:r>
      <w:r>
        <w:rPr>
          <w:b w:val="0"/>
          <w:sz w:val="21"/>
        </w:rPr>
        <w:t xml:space="preserve"> of measurements matters.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fill="2b5797"/>
            <w:tcBorders>
              <w:top w:val="single" w:sz="4" w:color="2b5797"/>
              <w:bottom w:val="single" w:sz="4" w:color="2b5797"/>
              <w:left w:val="single" w:sz="4" w:color="2b5797"/>
              <w:right w:val="single" w:sz="4" w:color="2b5797"/>
            </w:tcBorders>
          </w:tcPr>
          <w:p>
            <w:pPr>
              <w:spacing w:before="0" w:after="40"/>
            </w:pPr>
            <w:r>
              <w:rPr>
                <w:b/>
                <w:color w:val="FFFFFF"/>
                <w:sz w:val="19"/>
              </w:rPr>
              <w:t>Supports measured (k of 9)</w:t>
            </w:r>
          </w:p>
        </w:tc>
        <w:tc>
          <w:tcPr>
            <w:tcW w:type="dxa" w:w="2160"/>
            <w:shd w:val="clear" w:fill="2b5797"/>
            <w:tcBorders>
              <w:top w:val="single" w:sz="4" w:color="2b5797"/>
              <w:bottom w:val="single" w:sz="4" w:color="2b5797"/>
              <w:left w:val="single" w:sz="4" w:color="2b5797"/>
              <w:right w:val="single" w:sz="4" w:color="2b5797"/>
            </w:tcBorders>
          </w:tcPr>
          <w:p>
            <w:pPr>
              <w:spacing w:before="0" w:after="40"/>
            </w:pPr>
            <w:r>
              <w:rPr>
                <w:b/>
                <w:color w:val="FFFFFF"/>
                <w:sz w:val="19"/>
              </w:rPr>
              <w:t>P95 — centred (mm)</w:t>
            </w:r>
          </w:p>
        </w:tc>
        <w:tc>
          <w:tcPr>
            <w:tcW w:type="dxa" w:w="2160"/>
            <w:shd w:val="clear" w:fill="2b5797"/>
            <w:tcBorders>
              <w:top w:val="single" w:sz="4" w:color="2b5797"/>
              <w:bottom w:val="single" w:sz="4" w:color="2b5797"/>
              <w:left w:val="single" w:sz="4" w:color="2b5797"/>
              <w:right w:val="single" w:sz="4" w:color="2b5797"/>
            </w:tcBorders>
          </w:tcPr>
          <w:p>
            <w:pPr>
              <w:spacing w:before="0" w:after="40"/>
            </w:pPr>
            <w:r>
              <w:rPr>
                <w:b/>
                <w:color w:val="FFFFFF"/>
                <w:sz w:val="19"/>
              </w:rPr>
              <w:t>P95 — typical (mm)</w:t>
            </w:r>
          </w:p>
        </w:tc>
        <w:tc>
          <w:tcPr>
            <w:tcW w:type="dxa" w:w="2160"/>
            <w:shd w:val="clear" w:fill="2b5797"/>
            <w:tcBorders>
              <w:top w:val="single" w:sz="4" w:color="2b5797"/>
              <w:bottom w:val="single" w:sz="4" w:color="2b5797"/>
              <w:left w:val="single" w:sz="4" w:color="2b5797"/>
              <w:right w:val="single" w:sz="4" w:color="2b5797"/>
            </w:tcBorders>
          </w:tcPr>
          <w:p>
            <w:pPr>
              <w:spacing w:before="0" w:after="40"/>
            </w:pPr>
            <w:r>
              <w:rPr>
                <w:b/>
                <w:color w:val="FFFFFF"/>
                <w:sz w:val="19"/>
              </w:rPr>
              <w:t>Effect</w:t>
            </w:r>
          </w:p>
        </w:tc>
      </w:tr>
      <w:tr>
        <w:tc>
          <w:tcPr>
            <w:tcW w:type="dxa" w:w="2160"/>
            <w:shd w:val="clear" w:fill="ffffff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</w:tcPr>
          <w:p>
            <w:pPr>
              <w:spacing w:before="0" w:after="40"/>
            </w:pPr>
            <w:r>
              <w:rPr>
                <w:b/>
                <w:sz w:val="19"/>
              </w:rPr>
              <w:t>0 (none)</w:t>
            </w:r>
          </w:p>
        </w:tc>
        <w:tc>
          <w:tcPr>
            <w:tcW w:type="dxa" w:w="2160"/>
            <w:shd w:val="clear" w:fill="ffffff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</w:tcPr>
          <w:p>
            <w:pPr>
              <w:spacing w:before="0" w:after="40"/>
            </w:pPr>
            <w:r>
              <w:rPr>
                <w:sz w:val="19"/>
              </w:rPr>
              <w:t>2.27</w:t>
            </w:r>
          </w:p>
        </w:tc>
        <w:tc>
          <w:tcPr>
            <w:tcW w:type="dxa" w:w="2160"/>
            <w:shd w:val="clear" w:fill="ffffff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</w:tcPr>
          <w:p>
            <w:pPr>
              <w:spacing w:before="0" w:after="40"/>
            </w:pPr>
            <w:r>
              <w:rPr>
                <w:sz w:val="19"/>
              </w:rPr>
              <w:t>2.27</w:t>
            </w:r>
          </w:p>
        </w:tc>
        <w:tc>
          <w:tcPr>
            <w:tcW w:type="dxa" w:w="2160"/>
            <w:shd w:val="clear" w:fill="ffffff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</w:tcPr>
          <w:p>
            <w:pPr>
              <w:spacing w:before="0" w:after="40"/>
            </w:pPr>
            <w:r>
              <w:rPr>
                <w:sz w:val="19"/>
              </w:rPr>
              <w:t>baseline</w:t>
            </w:r>
          </w:p>
        </w:tc>
      </w:tr>
      <w:tr>
        <w:tc>
          <w:tcPr>
            <w:tcW w:type="dxa" w:w="2160"/>
            <w:shd w:val="clear" w:fill="f4f7ff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</w:tcPr>
          <w:p>
            <w:pPr>
              <w:spacing w:before="0" w:after="40"/>
            </w:pPr>
            <w:r>
              <w:rPr>
                <w:b/>
                <w:sz w:val="19"/>
              </w:rPr>
              <w:t>1  (one sector landed)</w:t>
            </w:r>
          </w:p>
        </w:tc>
        <w:tc>
          <w:tcPr>
            <w:tcW w:type="dxa" w:w="2160"/>
            <w:shd w:val="clear" w:fill="f4f7ff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</w:tcPr>
          <w:p>
            <w:pPr>
              <w:spacing w:before="0" w:after="40"/>
            </w:pPr>
            <w:r>
              <w:rPr>
                <w:sz w:val="19"/>
              </w:rPr>
              <w:t>≈ 2.2</w:t>
            </w:r>
          </w:p>
        </w:tc>
        <w:tc>
          <w:tcPr>
            <w:tcW w:type="dxa" w:w="2160"/>
            <w:shd w:val="clear" w:fill="f4f7ff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</w:tcPr>
          <w:p>
            <w:pPr>
              <w:spacing w:before="0" w:after="40"/>
            </w:pPr>
            <w:r>
              <w:rPr>
                <w:sz w:val="19"/>
              </w:rPr>
              <w:t>≈ 2.2</w:t>
            </w:r>
          </w:p>
        </w:tc>
        <w:tc>
          <w:tcPr>
            <w:tcW w:type="dxa" w:w="2160"/>
            <w:shd w:val="clear" w:fill="f4f7ff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</w:tcPr>
          <w:p>
            <w:pPr>
              <w:spacing w:before="0" w:after="40"/>
            </w:pPr>
            <w:r>
              <w:rPr>
                <w:sz w:val="19"/>
              </w:rPr>
              <w:t>small but real tightening</w:t>
            </w:r>
          </w:p>
        </w:tc>
      </w:tr>
      <w:tr>
        <w:tc>
          <w:tcPr>
            <w:tcW w:type="dxa" w:w="2160"/>
            <w:shd w:val="clear" w:fill="ffffff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</w:tcPr>
          <w:p>
            <w:pPr>
              <w:spacing w:before="0" w:after="40"/>
            </w:pPr>
            <w:r>
              <w:rPr>
                <w:b/>
                <w:sz w:val="19"/>
              </w:rPr>
              <w:t>3</w:t>
            </w:r>
          </w:p>
        </w:tc>
        <w:tc>
          <w:tcPr>
            <w:tcW w:type="dxa" w:w="2160"/>
            <w:shd w:val="clear" w:fill="ffffff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</w:tcPr>
          <w:p>
            <w:pPr>
              <w:spacing w:before="0" w:after="40"/>
            </w:pPr>
            <w:r>
              <w:rPr>
                <w:sz w:val="19"/>
              </w:rPr>
              <w:t>≈ 2.0</w:t>
            </w:r>
          </w:p>
        </w:tc>
        <w:tc>
          <w:tcPr>
            <w:tcW w:type="dxa" w:w="2160"/>
            <w:shd w:val="clear" w:fill="ffffff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</w:tcPr>
          <w:p>
            <w:pPr>
              <w:spacing w:before="0" w:after="40"/>
            </w:pPr>
            <w:r>
              <w:rPr>
                <w:sz w:val="19"/>
              </w:rPr>
              <w:t>≈ 2.1</w:t>
            </w:r>
          </w:p>
        </w:tc>
        <w:tc>
          <w:tcPr>
            <w:tcW w:type="dxa" w:w="2160"/>
            <w:shd w:val="clear" w:fill="ffffff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</w:tcPr>
          <w:p>
            <w:pPr>
              <w:spacing w:before="0" w:after="40"/>
            </w:pPr>
            <w:r>
              <w:rPr>
                <w:sz w:val="19"/>
              </w:rPr>
              <w:t>moderate</w:t>
            </w:r>
          </w:p>
        </w:tc>
      </w:tr>
      <w:tr>
        <w:tc>
          <w:tcPr>
            <w:tcW w:type="dxa" w:w="2160"/>
            <w:shd w:val="clear" w:fill="f4f7ff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</w:tcPr>
          <w:p>
            <w:pPr>
              <w:spacing w:before="0" w:after="40"/>
            </w:pPr>
            <w:r>
              <w:rPr>
                <w:b/>
                <w:sz w:val="19"/>
              </w:rPr>
              <w:t>5</w:t>
            </w:r>
          </w:p>
        </w:tc>
        <w:tc>
          <w:tcPr>
            <w:tcW w:type="dxa" w:w="2160"/>
            <w:shd w:val="clear" w:fill="f4f7ff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</w:tcPr>
          <w:p>
            <w:pPr>
              <w:spacing w:before="0" w:after="40"/>
            </w:pPr>
            <w:r>
              <w:rPr>
                <w:sz w:val="19"/>
              </w:rPr>
              <w:t>≈ 1.8</w:t>
            </w:r>
          </w:p>
        </w:tc>
        <w:tc>
          <w:tcPr>
            <w:tcW w:type="dxa" w:w="2160"/>
            <w:shd w:val="clear" w:fill="f4f7ff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</w:tcPr>
          <w:p>
            <w:pPr>
              <w:spacing w:before="0" w:after="40"/>
            </w:pPr>
            <w:r>
              <w:rPr>
                <w:sz w:val="19"/>
              </w:rPr>
              <w:t>≈ 2.0</w:t>
            </w:r>
          </w:p>
        </w:tc>
        <w:tc>
          <w:tcPr>
            <w:tcW w:type="dxa" w:w="2160"/>
            <w:shd w:val="clear" w:fill="f4f7ff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</w:tcPr>
          <w:p>
            <w:pPr>
              <w:spacing w:before="0" w:after="40"/>
            </w:pPr>
            <w:r>
              <w:rPr>
                <w:sz w:val="19"/>
              </w:rPr>
              <w:t>substantial</w:t>
            </w:r>
          </w:p>
        </w:tc>
      </w:tr>
      <w:tr>
        <w:tc>
          <w:tcPr>
            <w:tcW w:type="dxa" w:w="2160"/>
            <w:shd w:val="clear" w:fill="ffffff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</w:tcPr>
          <w:p>
            <w:pPr>
              <w:spacing w:before="0" w:after="40"/>
            </w:pPr>
            <w:r>
              <w:rPr>
                <w:b/>
                <w:sz w:val="19"/>
              </w:rPr>
              <w:t>9 (all)</w:t>
            </w:r>
          </w:p>
        </w:tc>
        <w:tc>
          <w:tcPr>
            <w:tcW w:type="dxa" w:w="2160"/>
            <w:shd w:val="clear" w:fill="ffffff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</w:tcPr>
          <w:p>
            <w:pPr>
              <w:spacing w:before="0" w:after="40"/>
            </w:pPr>
            <w:r>
              <w:rPr>
                <w:sz w:val="19"/>
              </w:rPr>
              <w:t>→ 1.55 (nominal env.)</w:t>
            </w:r>
          </w:p>
        </w:tc>
        <w:tc>
          <w:tcPr>
            <w:tcW w:type="dxa" w:w="2160"/>
            <w:shd w:val="clear" w:fill="ffffff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</w:tcPr>
          <w:p>
            <w:pPr>
              <w:spacing w:before="0" w:after="40"/>
            </w:pPr>
            <w:r>
              <w:rPr>
                <w:sz w:val="19"/>
              </w:rPr>
              <w:t>deterministic</w:t>
            </w:r>
          </w:p>
        </w:tc>
        <w:tc>
          <w:tcPr>
            <w:tcW w:type="dxa" w:w="2160"/>
            <w:shd w:val="clear" w:fill="ffffff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</w:tcPr>
          <w:p>
            <w:pPr>
              <w:spacing w:before="0" w:after="40"/>
            </w:pPr>
            <w:r>
              <w:rPr>
                <w:sz w:val="19"/>
              </w:rPr>
              <w:t>collapsed</w:t>
            </w:r>
          </w:p>
        </w:tc>
      </w:tr>
    </w:tbl>
    <w:p>
      <w:pPr>
        <w:spacing w:after="40"/>
      </w:pP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852160" cy="2316925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rtial_measurement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23169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color w:val="555555"/>
          <w:sz w:val="17"/>
        </w:rPr>
        <w:t>Left: the departure distribution. Right: conditional P95 vs supports measured (centred vs typical random).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fff0ee"/>
            <w:tcBorders>
              <w:left w:val="single" w:sz="24" w:color="cc2200"/>
            </w:tcBorders>
            <w:tcBorders>
              <w:top w:val="single" w:sz="4" w:color="fff0ee"/>
              <w:bottom w:val="single" w:sz="4" w:color="fff0ee"/>
              <w:right w:val="single" w:sz="4" w:color="fff0ee"/>
            </w:tcBorders>
          </w:tcPr>
          <w:p>
            <w:pPr>
              <w:spacing w:before="0" w:after="40"/>
            </w:pPr>
            <w:r>
              <w:rPr>
                <w:b/>
                <w:color w:val="CC2200"/>
              </w:rPr>
              <w:t xml:space="preserve">Each landed sector matters:  </w:t>
            </w:r>
            <w:r>
              <w:rPr>
                <w:b w:val="0"/>
                <w:sz w:val="20"/>
              </w:rPr>
              <w:t>Each additional measured sector incrementally tightens the n = 1 budget — a clear path to bound reduction as landing progresses. This contrasts with the previous peak-to-peak diameter framing, which gave no relief from measurements.</w:t>
            </w:r>
          </w:p>
        </w:tc>
      </w:tr>
    </w:tbl>
    <w:p>
      <w:pPr>
        <w:spacing w:after="40"/>
      </w:pPr>
    </w:p>
    <w:p>
      <w:pPr>
        <w:spacing w:before="320" w:after="80"/>
        <w:pBdr>
          <w:bottom w:val="single" w:sz="6" w:space="2" w:color="2b5797"/>
        </w:pBdr>
      </w:pPr>
      <w:r>
        <w:rPr>
          <w:b/>
          <w:color w:val="2B5797"/>
          <w:sz w:val="28"/>
        </w:rPr>
        <w:t>6 — Rotation (n = 0, separate)</w:t>
      </w:r>
    </w:p>
    <w:p>
      <w:pPr>
        <w:spacing w:after="120"/>
      </w:pPr>
      <w:r>
        <w:rPr>
          <w:b w:val="0"/>
          <w:sz w:val="21"/>
        </w:rPr>
        <w:t xml:space="preserve">The LP for max Δθ gives </w:t>
      </w:r>
      <w:r>
        <w:rPr>
          <w:b/>
          <w:sz w:val="21"/>
        </w:rPr>
        <w:t>±187.5 µrad (0.375 mrad)</w:t>
      </w:r>
      <w:r>
        <w:rPr>
          <w:b w:val="0"/>
          <w:sz w:val="21"/>
        </w:rPr>
        <w:t xml:space="preserve"> — all 9 pins slide synchronously by R·Δθ = ±1.5 mm. Rotating an axisymmetric torus about its own axis leaves the plasma–wall gap unchanged (</w:t>
      </w:r>
      <w:r>
        <w:rPr>
          <w:b/>
          <w:sz w:val="21"/>
        </w:rPr>
        <w:t>n = 0</w:t>
      </w:r>
      <w:r>
        <w:rPr>
          <w:b w:val="0"/>
          <w:sz w:val="21"/>
        </w:rPr>
        <w:t>), so this mode is local-alignment only and not part of the n = 1 budget.</w:t>
      </w:r>
    </w:p>
    <w:p>
      <w:pPr>
        <w:spacing w:before="320" w:after="80"/>
        <w:pBdr>
          <w:bottom w:val="single" w:sz="6" w:space="2" w:color="2b5797"/>
        </w:pBdr>
      </w:pPr>
      <w:r>
        <w:rPr>
          <w:b/>
          <w:color w:val="2B5797"/>
          <w:sz w:val="28"/>
        </w:rPr>
        <w:t>7 — EM implications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fff8e0"/>
            <w:tcBorders>
              <w:left w:val="single" w:sz="24" w:color="cc8800"/>
            </w:tcBorders>
            <w:tcBorders>
              <w:top w:val="single" w:sz="4" w:color="fff8e0"/>
              <w:bottom w:val="single" w:sz="4" w:color="fff8e0"/>
              <w:right w:val="single" w:sz="4" w:color="fff8e0"/>
            </w:tcBorders>
          </w:tcPr>
          <w:p>
            <w:pPr>
              <w:spacing w:before="0" w:after="40"/>
            </w:pPr>
            <w:r>
              <w:rPr>
                <w:b/>
                <w:color w:val="CC8800"/>
              </w:rPr>
              <w:t xml:space="preserve">(a) Start-up plasma ramp (10 s):  </w:t>
            </w:r>
            <w:r>
              <w:rPr>
                <w:b w:val="0"/>
                <w:sz w:val="20"/>
              </w:rPr>
              <w:t xml:space="preserve">Plasma ramps 0→3 MA over ~10 s, driving vessel image currents that, with n ≤ 4 TF asymmetries (mainly TF vault closure), produce a lateral n = 1 force estimated at O(1–10 kN) — comparable to the F_stop ≈ 4.5 kN centering. The 10 s ramp ≈ T_n, so the dynamic response factor is ~1.3–1.5 (a single ramp, not periodic — no resonant accumulation). Quasi-static deflection F/K = 0.3–3 mm; dynamic peak departure </w:t>
            </w:r>
            <w:r>
              <w:rPr>
                <w:b/>
                <w:sz w:val="20"/>
              </w:rPr>
              <w:t>O(1–4 mm)</w:t>
            </w:r>
            <w:r>
              <w:rPr>
                <w:b w:val="0"/>
                <w:sz w:val="20"/>
              </w:rPr>
              <w:t xml:space="preserve"> — potentially close to the ±1.5 mm gap. A defensible value needs the actual n ≤ 4 force amplitude and damping.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fff0ee"/>
            <w:tcBorders>
              <w:left w:val="single" w:sz="24" w:color="cc2200"/>
            </w:tcBorders>
            <w:tcBorders>
              <w:top w:val="single" w:sz="4" w:color="fff0ee"/>
              <w:bottom w:val="single" w:sz="4" w:color="fff0ee"/>
              <w:right w:val="single" w:sz="4" w:color="fff0ee"/>
            </w:tcBorders>
          </w:tcPr>
          <w:p>
            <w:pPr>
              <w:spacing w:before="0" w:after="40"/>
            </w:pPr>
            <w:r>
              <w:rPr>
                <w:b/>
                <w:color w:val="CC2200"/>
              </w:rPr>
              <w:t xml:space="preserve">(b) Disruption / VDE (ms):  </w:t>
            </w:r>
            <w:r>
              <w:rPr>
                <w:b w:val="0"/>
                <w:sz w:val="20"/>
              </w:rPr>
              <w:t xml:space="preserve">A current quench delivers MN-scale lateral force over ms — far faster than T_n ≈ 10 s and far larger than the kN centering. On the disruption timescale the vessel responds as a free mass: impulse J = F·τ ~ 10⁵ N·s → v = J/M ~ 12 mm/s; the soft centering barely decelerates it. The vessel hits the dowel stops at O(10 mm/s) with O(500 J) of kinetic energy → peak impact force on the VVGS ~1 MN (rigid-stop estimate). This is an </w:t>
            </w:r>
            <w:r>
              <w:rPr>
                <w:b/>
                <w:sz w:val="20"/>
              </w:rPr>
              <w:t>impulsive lateral load case for VVGS design</w:t>
            </w:r>
            <w:r>
              <w:rPr>
                <w:b w:val="0"/>
                <w:sz w:val="20"/>
              </w:rPr>
              <w:t xml:space="preserve"> and could be bounding for the lateral capacity.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e8efff"/>
            <w:tcBorders>
              <w:left w:val="single" w:sz="24" w:color="2255aa"/>
            </w:tcBorders>
            <w:tcBorders>
              <w:top w:val="single" w:sz="4" w:color="e8efff"/>
              <w:bottom w:val="single" w:sz="4" w:color="e8efff"/>
              <w:right w:val="single" w:sz="4" w:color="e8efff"/>
            </w:tcBorders>
          </w:tcPr>
          <w:p>
            <w:pPr>
              <w:spacing w:before="0" w:after="40"/>
            </w:pPr>
            <w:r>
              <w:rPr>
                <w:b/>
                <w:color w:val="2255AA"/>
              </w:rPr>
              <w:t xml:space="preserve">The 6 mm n ≤ 4 budget:  </w:t>
            </w:r>
            <w:r>
              <w:rPr>
                <w:b w:val="0"/>
                <w:sz w:val="20"/>
              </w:rPr>
              <w:t xml:space="preserve">The start-up criterion compares the n ≤ 4 filtered first-wall and toroidal-field profiles; their peak-to-peak difference must remain within </w:t>
            </w:r>
            <w:r>
              <w:rPr>
                <w:b/>
                <w:sz w:val="20"/>
              </w:rPr>
              <w:t>6 mm</w:t>
            </w:r>
            <w:r>
              <w:rPr>
                <w:b w:val="0"/>
                <w:sz w:val="20"/>
              </w:rPr>
              <w:t>. The vessel n = 1 contribution is ≈ 0 quiescent (self-centred), ~1–4 mm at the start-up peak (force-dependent), and up to the ~2.9 mm kinematic ceiling under disruption-class lateral forces. The remaining ~3–5 mm must cover the TF vault closure n ≤ 4 and any other first-wall n ≤ 4 sources.</w:t>
            </w:r>
          </w:p>
        </w:tc>
      </w:tr>
    </w:tbl>
    <w:p>
      <w:pPr>
        <w:spacing w:after="40"/>
      </w:pPr>
    </w:p>
    <w:p>
      <w:pPr>
        <w:spacing w:before="320" w:after="80"/>
        <w:pBdr>
          <w:bottom w:val="single" w:sz="6" w:space="2" w:color="2b5797"/>
        </w:pBdr>
      </w:pPr>
      <w:r>
        <w:rPr>
          <w:b/>
          <w:color w:val="2B5797"/>
          <w:sz w:val="28"/>
        </w:rPr>
        <w:t>8 — Recommendations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fill="2b5797"/>
            <w:tcBorders>
              <w:top w:val="single" w:sz="4" w:color="2b5797"/>
              <w:bottom w:val="single" w:sz="4" w:color="2b5797"/>
              <w:left w:val="single" w:sz="4" w:color="2b5797"/>
              <w:right w:val="single" w:sz="4" w:color="2b5797"/>
            </w:tcBorders>
          </w:tcPr>
          <w:p>
            <w:pPr>
              <w:spacing w:before="0" w:after="40"/>
            </w:pPr>
            <w:r>
              <w:rPr>
                <w:b/>
                <w:color w:val="FFFFFF"/>
                <w:sz w:val="19"/>
              </w:rPr>
              <w:t>#</w:t>
            </w:r>
          </w:p>
        </w:tc>
        <w:tc>
          <w:tcPr>
            <w:tcW w:type="dxa" w:w="4320"/>
            <w:shd w:val="clear" w:fill="2b5797"/>
            <w:tcBorders>
              <w:top w:val="single" w:sz="4" w:color="2b5797"/>
              <w:bottom w:val="single" w:sz="4" w:color="2b5797"/>
              <w:left w:val="single" w:sz="4" w:color="2b5797"/>
              <w:right w:val="single" w:sz="4" w:color="2b5797"/>
            </w:tcBorders>
          </w:tcPr>
          <w:p>
            <w:pPr>
              <w:spacing w:before="0" w:after="40"/>
            </w:pPr>
            <w:r>
              <w:rPr>
                <w:b/>
                <w:color w:val="FFFFFF"/>
                <w:sz w:val="19"/>
              </w:rPr>
              <w:t>Recommendation</w:t>
            </w:r>
          </w:p>
        </w:tc>
      </w:tr>
      <w:tr>
        <w:tc>
          <w:tcPr>
            <w:tcW w:type="dxa" w:w="4320"/>
            <w:shd w:val="clear" w:fill="ffffff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</w:tcPr>
          <w:p>
            <w:pPr>
              <w:spacing w:before="0" w:after="40"/>
            </w:pPr>
            <w:r>
              <w:rPr>
                <w:b/>
                <w:sz w:val="19"/>
              </w:rPr>
              <w:t>1</w:t>
            </w:r>
          </w:p>
        </w:tc>
        <w:tc>
          <w:tcPr>
            <w:tcW w:type="dxa" w:w="4320"/>
            <w:shd w:val="clear" w:fill="ffffff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</w:tcPr>
          <w:p>
            <w:pPr>
              <w:spacing w:before="0" w:after="40"/>
            </w:pPr>
            <w:r>
              <w:rPr>
                <w:sz w:val="19"/>
              </w:rPr>
              <w:t>Use departure from gravitational centre as the n = 1 first-wall metric; P95 = 2.27 mm, MC max ≈ 2.98 mm. Quiescent contribution ≈ 0.</w:t>
            </w:r>
          </w:p>
        </w:tc>
      </w:tr>
      <w:tr>
        <w:tc>
          <w:tcPr>
            <w:tcW w:type="dxa" w:w="4320"/>
            <w:shd w:val="clear" w:fill="f4f7ff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</w:tcPr>
          <w:p>
            <w:pPr>
              <w:spacing w:before="0" w:after="40"/>
            </w:pPr>
            <w:r>
              <w:rPr>
                <w:b/>
                <w:sz w:val="19"/>
              </w:rPr>
              <w:t>2</w:t>
            </w:r>
          </w:p>
        </w:tc>
        <w:tc>
          <w:tcPr>
            <w:tcW w:type="dxa" w:w="4320"/>
            <w:shd w:val="clear" w:fill="f4f7ff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</w:tcPr>
          <w:p>
            <w:pPr>
              <w:spacing w:before="0" w:after="40"/>
            </w:pPr>
            <w:r>
              <w:rPr>
                <w:sz w:val="19"/>
              </w:rPr>
              <w:t>Compute the start-up lateral force on the vessel from a 3 MA / 10 s ramp through the actual TF vault closure n ≤ 4 errors; expect O(1–4 mm) dynamic peak departure.</w:t>
            </w:r>
          </w:p>
        </w:tc>
      </w:tr>
      <w:tr>
        <w:tc>
          <w:tcPr>
            <w:tcW w:type="dxa" w:w="4320"/>
            <w:shd w:val="clear" w:fill="ffffff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</w:tcPr>
          <w:p>
            <w:pPr>
              <w:spacing w:before="0" w:after="40"/>
            </w:pPr>
            <w:r>
              <w:rPr>
                <w:b/>
                <w:sz w:val="19"/>
              </w:rPr>
              <w:t>3</w:t>
            </w:r>
          </w:p>
        </w:tc>
        <w:tc>
          <w:tcPr>
            <w:tcW w:type="dxa" w:w="4320"/>
            <w:shd w:val="clear" w:fill="ffffff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</w:tcPr>
          <w:p>
            <w:pPr>
              <w:spacing w:before="0" w:after="40"/>
            </w:pPr>
            <w:r>
              <w:rPr>
                <w:sz w:val="19"/>
              </w:rPr>
              <w:t>Allocate the 6 mm n ≤ 4 budget between vessel n = 1 (above) and TF-side n ≤ 4.</w:t>
            </w:r>
          </w:p>
        </w:tc>
      </w:tr>
      <w:tr>
        <w:tc>
          <w:tcPr>
            <w:tcW w:type="dxa" w:w="4320"/>
            <w:shd w:val="clear" w:fill="f4f7ff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</w:tcPr>
          <w:p>
            <w:pPr>
              <w:spacing w:before="0" w:after="40"/>
            </w:pPr>
            <w:r>
              <w:rPr>
                <w:b/>
                <w:sz w:val="19"/>
              </w:rPr>
              <w:t>4</w:t>
            </w:r>
          </w:p>
        </w:tc>
        <w:tc>
          <w:tcPr>
            <w:tcW w:type="dxa" w:w="4320"/>
            <w:shd w:val="clear" w:fill="f4f7ff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</w:tcPr>
          <w:p>
            <w:pPr>
              <w:spacing w:before="0" w:after="40"/>
            </w:pPr>
            <w:r>
              <w:rPr>
                <w:sz w:val="19"/>
              </w:rPr>
              <w:t>Disruption dynamic VVGS load case: model impulse → vessel velocity → end-stop impact (~MN peak lateral force). Potentially bounding for the VVGS.</w:t>
            </w:r>
          </w:p>
        </w:tc>
      </w:tr>
      <w:tr>
        <w:tc>
          <w:tcPr>
            <w:tcW w:type="dxa" w:w="4320"/>
            <w:shd w:val="clear" w:fill="ffffff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</w:tcPr>
          <w:p>
            <w:pPr>
              <w:spacing w:before="0" w:after="40"/>
            </w:pPr>
            <w:r>
              <w:rPr>
                <w:b/>
                <w:sz w:val="19"/>
              </w:rPr>
              <w:t>5</w:t>
            </w:r>
          </w:p>
        </w:tc>
        <w:tc>
          <w:tcPr>
            <w:tcW w:type="dxa" w:w="4320"/>
            <w:shd w:val="clear" w:fill="ffffff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</w:tcPr>
          <w:p>
            <w:pPr>
              <w:spacing w:before="0" w:after="40"/>
            </w:pPr>
            <w:r>
              <w:rPr>
                <w:sz w:val="19"/>
              </w:rPr>
              <w:t>Gap metrology NOW meaningfully tightens the n = 1 budget under the departure metric — each landed sector incrementally pulls the polytope toward the gravitational centre. Report conditional P95 with every additional sector measured.</w:t>
            </w:r>
          </w:p>
        </w:tc>
      </w:tr>
      <w:tr>
        <w:tc>
          <w:tcPr>
            <w:tcW w:type="dxa" w:w="4320"/>
            <w:shd w:val="clear" w:fill="f4f7ff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</w:tcPr>
          <w:p>
            <w:pPr>
              <w:spacing w:before="0" w:after="40"/>
            </w:pPr>
            <w:r>
              <w:rPr>
                <w:b/>
                <w:sz w:val="19"/>
              </w:rPr>
              <w:t>6</w:t>
            </w:r>
          </w:p>
        </w:tc>
        <w:tc>
          <w:tcPr>
            <w:tcW w:type="dxa" w:w="4320"/>
            <w:shd w:val="clear" w:fill="f4f7ff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</w:tcPr>
          <w:p>
            <w:pPr>
              <w:spacing w:before="0" w:after="40"/>
            </w:pPr>
            <w:r>
              <w:rPr>
                <w:sz w:val="19"/>
              </w:rPr>
              <w:t>Refine L_eff using the as-built hinge geometry — sensitive to ~2 m/° of inclination angle.</w:t>
            </w:r>
          </w:p>
        </w:tc>
      </w:tr>
      <w:tr>
        <w:tc>
          <w:tcPr>
            <w:tcW w:type="dxa" w:w="4320"/>
            <w:shd w:val="clear" w:fill="ffffff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</w:tcPr>
          <w:p>
            <w:pPr>
              <w:spacing w:before="0" w:after="40"/>
            </w:pPr>
            <w:r>
              <w:rPr>
                <w:b/>
                <w:sz w:val="19"/>
              </w:rPr>
              <w:t>7</w:t>
            </w:r>
          </w:p>
        </w:tc>
        <w:tc>
          <w:tcPr>
            <w:tcW w:type="dxa" w:w="4320"/>
            <w:shd w:val="clear" w:fill="ffffff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</w:tcPr>
          <w:p>
            <w:pPr>
              <w:spacing w:before="0" w:after="40"/>
            </w:pPr>
            <w:r>
              <w:rPr>
                <w:sz w:val="19"/>
              </w:rPr>
              <w:t>Slot allowance ±1.5 mm (3 mm total) confirmed; linear scaling with the slot.</w:t>
            </w:r>
          </w:p>
        </w:tc>
      </w:tr>
      <w:tr>
        <w:tc>
          <w:tcPr>
            <w:tcW w:type="dxa" w:w="4320"/>
            <w:shd w:val="clear" w:fill="f4f7ff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</w:tcPr>
          <w:p>
            <w:pPr>
              <w:spacing w:before="0" w:after="40"/>
            </w:pPr>
            <w:r>
              <w:rPr>
                <w:b/>
                <w:sz w:val="19"/>
              </w:rPr>
              <w:t>8</w:t>
            </w:r>
          </w:p>
        </w:tc>
        <w:tc>
          <w:tcPr>
            <w:tcW w:type="dxa" w:w="4320"/>
            <w:shd w:val="clear" w:fill="f4f7ff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</w:tcPr>
          <w:p>
            <w:pPr>
              <w:spacing w:before="0" w:after="40"/>
            </w:pPr>
            <w:r>
              <w:rPr>
                <w:sz w:val="19"/>
              </w:rPr>
              <w:t>Treat the ±187.5 µrad rotation (n = 0) as a separate local-alignment case for ports/penetrations.</w:t>
            </w:r>
          </w:p>
        </w:tc>
      </w:tr>
    </w:tbl>
    <w:p>
      <w:pPr>
        <w:spacing w:after="40"/>
      </w:pPr>
    </w:p>
    <w:p>
      <w:r>
        <w:rPr>
          <w:color w:val="555555"/>
          <w:sz w:val="16"/>
        </w:rPr>
        <w:t>Monte Carlo generated reproducibly by vv_mc_generator.py (scipy HiGHS LP, departure-from-centre metric, N = 5000, fixed seed 20260527 → committed data/). Centering parameters M ≈ 8000 t, 15° incline → L_eff ≈ 26 m → K ≈ 3 kN/mm, T_n ≈ 10 s, F_stop ≈ 4.5 kN. Every number regenerates from the repository. Source: Simon-McIntosh/vv.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Segoe UI" w:hAnsi="Segoe U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gif"/><Relationship Id="rId11" Type="http://schemas.openxmlformats.org/officeDocument/2006/relationships/image" Target="media/image3.png"/><Relationship Id="rId12" Type="http://schemas.openxmlformats.org/officeDocument/2006/relationships/image" Target="media/image4.gif"/><Relationship Id="rId13" Type="http://schemas.openxmlformats.org/officeDocument/2006/relationships/image" Target="media/image5.png"/><Relationship Id="rId14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