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bottom w:val="single" w:sz="18" w:space="3" w:color="2b5797"/>
        </w:pBdr>
      </w:pPr>
      <w:r>
        <w:rPr>
          <w:b/>
          <w:color w:val="1A3A6E"/>
          <w:sz w:val="38"/>
        </w:rPr>
        <w:t>ITER Vacuum Vessel — Lateral Rattle Analysis</w:t>
      </w:r>
    </w:p>
    <w:p>
      <w:r>
        <w:rPr>
          <w:color w:val="555555"/>
          <w:sz w:val="17"/>
        </w:rPr>
        <w:t>Revised 2026-05-27  ·  5,000-sample Monte Carlo  ·  scipy HiGHS LP  ·  3-DOF rigid-body model  ·  metric: peak-to-peak range (n=1 wall displacement)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f0ee"/>
            <w:tcBorders>
              <w:left w:val="single" w:sz="24" w:color="cc2200"/>
            </w:tcBorders>
            <w:tcBorders>
              <w:top w:val="single" w:sz="4" w:color="fff0ee"/>
              <w:bottom w:val="single" w:sz="4" w:color="fff0ee"/>
              <w:right w:val="single" w:sz="4" w:color="fff0ee"/>
            </w:tcBorders>
          </w:tcPr>
          <w:p>
            <w:pPr>
              <w:spacing w:before="0" w:after="40"/>
            </w:pPr>
            <w:r>
              <w:rPr>
                <w:b/>
                <w:color w:val="CC2200"/>
              </w:rPr>
              <w:t xml:space="preserve">Key result:  </w:t>
            </w:r>
            <w:r>
              <w:rPr>
                <w:b w:val="0"/>
                <w:sz w:val="20"/>
              </w:rPr>
              <w:t xml:space="preserve">The vacuum vessel can rattle laterally over a </w:t>
            </w:r>
            <w:r>
              <w:rPr>
                <w:b/>
                <w:sz w:val="20"/>
              </w:rPr>
              <w:t>peak-to-peak range of 3.09 mm</w:t>
            </w:r>
            <w:r>
              <w:rPr>
                <w:b w:val="0"/>
                <w:sz w:val="20"/>
              </w:rPr>
              <w:t xml:space="preserve"> at the worst (nominal, fully-centred) assembly — a hard theoretical ceiling. This lateral motion is an </w:t>
            </w:r>
            <w:r>
              <w:rPr>
                <w:b/>
                <w:sz w:val="20"/>
              </w:rPr>
              <w:t>n=1 rigid displacement of the first wall</w:t>
            </w:r>
            <w:r>
              <w:rPr>
                <w:b w:val="0"/>
                <w:sz w:val="20"/>
              </w:rPr>
              <w:t>: during limited start-up on the inner wall it localises the heat load. Monte Carlo over random assemblies: P95 = 3.01 mm, median = 2.24 mm, mode ≈ 2.49 mm. A separate ±187.5 µrad rotation mode is n=0 (it does not perturb the plasma–wall gap).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f8e0"/>
            <w:tcBorders>
              <w:left w:val="single" w:sz="24" w:color="cc8800"/>
            </w:tcBorders>
            <w:tcBorders>
              <w:top w:val="single" w:sz="4" w:color="fff8e0"/>
              <w:bottom w:val="single" w:sz="4" w:color="fff8e0"/>
              <w:right w:val="single" w:sz="4" w:color="fff8e0"/>
            </w:tcBorders>
          </w:tcPr>
          <w:p>
            <w:pPr>
              <w:spacing w:before="0" w:after="40"/>
            </w:pPr>
            <w:r>
              <w:rPr>
                <w:b/>
                <w:color w:val="CC8800"/>
              </w:rPr>
              <w:t xml:space="preserve">Assumption (×2 sensitivity):  </w:t>
            </w:r>
            <w:r>
              <w:rPr>
                <w:b w:val="0"/>
                <w:sz w:val="20"/>
              </w:rPr>
              <w:t xml:space="preserve">the toroidal slot allowance is taken as </w:t>
            </w:r>
            <w:r>
              <w:rPr>
                <w:b/>
                <w:sz w:val="20"/>
              </w:rPr>
              <w:t>±1.5 mm (3 mm total travel)</w:t>
            </w:r>
            <w:r>
              <w:rPr>
                <w:b w:val="0"/>
                <w:sz w:val="20"/>
              </w:rPr>
              <w:t>. If it is actually ±3 mm, every number below doubles. Confirm against the as-built gravity-support specification.</w:t>
            </w:r>
          </w:p>
        </w:tc>
      </w:tr>
    </w:tbl>
    <w:p>
      <w:pPr>
        <w:spacing w:after="40"/>
      </w:pPr>
    </w:p>
    <w:p>
      <w:pPr>
        <w:spacing w:before="320" w:after="80"/>
        <w:pBdr>
          <w:bottom w:val="single" w:sz="6" w:space="2" w:color="2b5797"/>
        </w:pBdr>
      </w:pPr>
      <w:r>
        <w:rPr>
          <w:b/>
          <w:color w:val="2B5797"/>
          <w:sz w:val="28"/>
        </w:rPr>
        <w:t>1 — Physical mechanism</w:t>
      </w:r>
    </w:p>
    <w:p>
      <w:pPr>
        <w:spacing w:after="120"/>
      </w:pPr>
      <w:r>
        <w:rPr>
          <w:b w:val="0"/>
          <w:sz w:val="21"/>
        </w:rPr>
        <w:t xml:space="preserve">The VV rests on </w:t>
      </w:r>
      <w:r>
        <w:rPr>
          <w:b/>
          <w:sz w:val="21"/>
        </w:rPr>
        <w:t>9 gravity supports</w:t>
      </w:r>
      <w:r>
        <w:rPr>
          <w:b w:val="0"/>
          <w:sz w:val="21"/>
        </w:rPr>
        <w:t xml:space="preserve"> equally spaced toroidally on a ring of radius R ≈ 8 m. Each is a four-bar linkage with free radial motion and a toroidal pin limited to ±1.5 mm. Radial motion is free; toroidal motion is the constrained rattle. The 9×3 constraint matrix has AᵀA = diag(4.5, 4.5, 576) — exactly diagonal, so the three rigid-body DOFs are uncorrelated.</w:t>
      </w:r>
    </w:p>
    <w:p>
      <w:pPr>
        <w:spacing w:before="320" w:after="80"/>
        <w:pBdr>
          <w:bottom w:val="single" w:sz="6" w:space="2" w:color="2b5797"/>
        </w:pBdr>
      </w:pPr>
      <w:r>
        <w:rPr>
          <w:b/>
          <w:color w:val="2B5797"/>
          <w:sz w:val="28"/>
        </w:rPr>
        <w:t>2 — Why it matters: two distinct consequences</w:t>
      </w:r>
    </w:p>
    <w:p>
      <w:pPr>
        <w:spacing w:after="120"/>
      </w:pPr>
      <w:r>
        <w:rPr>
          <w:b w:val="0"/>
          <w:sz w:val="21"/>
        </w:rPr>
        <w:t>The lateral rattle is a rigid horizontal shift of the vessel. It has two largely independent consequences, both bounded by the peak-to-peak range — one quasi-static, one dynamic.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f0ee"/>
            <w:tcBorders>
              <w:left w:val="single" w:sz="24" w:color="cc2200"/>
            </w:tcBorders>
            <w:tcBorders>
              <w:top w:val="single" w:sz="4" w:color="fff0ee"/>
              <w:bottom w:val="single" w:sz="4" w:color="fff0ee"/>
              <w:right w:val="single" w:sz="4" w:color="fff0ee"/>
            </w:tcBorders>
          </w:tcPr>
          <w:p>
            <w:pPr>
              <w:spacing w:before="0" w:after="40"/>
            </w:pPr>
            <w:r>
              <w:rPr>
                <w:b/>
                <w:color w:val="CC2200"/>
              </w:rPr>
              <w:t xml:space="preserve">(a) n=1 first-wall positioning:  </w:t>
            </w:r>
            <w:r>
              <w:rPr>
                <w:b w:val="0"/>
                <w:sz w:val="20"/>
              </w:rPr>
              <w:t>A horizontal shift makes the plasma–wall gap vary as cos(toroidal angle) — a textbook n=1 perturbation. Between shots the vessel settles to a different position; when the plasma is limited on the inner wall during start-up, the gap asymmetry localises the start-up heat load toroidally.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f8e0"/>
            <w:tcBorders>
              <w:left w:val="single" w:sz="24" w:color="cc8800"/>
            </w:tcBorders>
            <w:tcBorders>
              <w:top w:val="single" w:sz="4" w:color="fff8e0"/>
              <w:bottom w:val="single" w:sz="4" w:color="fff8e0"/>
              <w:right w:val="single" w:sz="4" w:color="fff8e0"/>
            </w:tcBorders>
          </w:tcPr>
          <w:p>
            <w:pPr>
              <w:spacing w:before="0" w:after="40"/>
            </w:pPr>
            <w:r>
              <w:rPr>
                <w:b/>
                <w:color w:val="CC8800"/>
              </w:rPr>
              <w:t xml:space="preserve">(b) EM-driven impact (dynamic):  </w:t>
            </w:r>
            <w:r>
              <w:rPr>
                <w:b w:val="0"/>
                <w:sz w:val="20"/>
              </w:rPr>
              <w:t>Because the vessel is mobile within its ±1.5 mm slots, EM loads (disruptions, VDEs, halo currents) can accelerate it across the gap until it impacts its end-stops. The shock loads on the gravity supports, and fatigue from repeated impact cycling, can be significant and must be assessed dynamically — not only as a static positioning number.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sz w:val="21"/>
        </w:rPr>
        <w:t xml:space="preserve">Rotation about the vertical axis is </w:t>
      </w:r>
      <w:r>
        <w:rPr>
          <w:b/>
          <w:sz w:val="21"/>
        </w:rPr>
        <w:t>n=0</w:t>
      </w:r>
      <w:r>
        <w:rPr>
          <w:b w:val="0"/>
          <w:sz w:val="21"/>
        </w:rPr>
        <w:t xml:space="preserve"> — it leaves the plasma–wall gap unchanged and is treated as a separate local-alignment mode, not part of the n=1 budget.</w:t>
      </w:r>
    </w:p>
    <w:p>
      <w:pPr>
        <w:spacing w:before="320" w:after="80"/>
        <w:pBdr>
          <w:bottom w:val="single" w:sz="6" w:space="2" w:color="2b5797"/>
        </w:pBdr>
      </w:pPr>
      <w:r>
        <w:rPr>
          <w:b/>
          <w:color w:val="2B5797"/>
          <w:sz w:val="28"/>
        </w:rPr>
        <w:t>3 — The number: peak-to-peak rattle range</w:t>
      </w:r>
    </w:p>
    <w:p>
      <w:pPr>
        <w:spacing w:after="120"/>
      </w:pPr>
      <w:r>
        <w:rPr>
          <w:b w:val="0"/>
          <w:sz w:val="21"/>
        </w:rPr>
        <w:t>Each support travels ±1.5 mm, yet the nominal range is 3.093 mm — slightly over the 3 mm slot because the rotation DOF lets the centre exploit the angled supports' slack (a 3-support binding vertex). 5,000-sample Monte Carlo over random assemblies: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2b5797"/>
            <w:tcBorders>
              <w:top w:val="single" w:sz="4" w:color="2b5797"/>
              <w:bottom w:val="single" w:sz="4" w:color="2b5797"/>
              <w:left w:val="single" w:sz="4" w:color="2b5797"/>
              <w:right w:val="single" w:sz="4" w:color="2b5797"/>
            </w:tcBorders>
          </w:tcPr>
          <w:p>
            <w:pPr>
              <w:spacing w:before="0" w:after="40"/>
            </w:pPr>
            <w:r>
              <w:rPr>
                <w:b/>
                <w:color w:val="FFFFFF"/>
                <w:sz w:val="19"/>
              </w:rPr>
              <w:t>Statistic</w:t>
            </w:r>
          </w:p>
        </w:tc>
        <w:tc>
          <w:tcPr>
            <w:tcW w:type="dxa" w:w="2880"/>
            <w:shd w:val="clear" w:fill="2b5797"/>
            <w:tcBorders>
              <w:top w:val="single" w:sz="4" w:color="2b5797"/>
              <w:bottom w:val="single" w:sz="4" w:color="2b5797"/>
              <w:left w:val="single" w:sz="4" w:color="2b5797"/>
              <w:right w:val="single" w:sz="4" w:color="2b5797"/>
            </w:tcBorders>
          </w:tcPr>
          <w:p>
            <w:pPr>
              <w:spacing w:before="0" w:after="40"/>
            </w:pPr>
            <w:r>
              <w:rPr>
                <w:b/>
                <w:color w:val="FFFFFF"/>
                <w:sz w:val="19"/>
              </w:rPr>
              <w:t>Range (mm)</w:t>
            </w:r>
          </w:p>
        </w:tc>
        <w:tc>
          <w:tcPr>
            <w:tcW w:type="dxa" w:w="2880"/>
            <w:shd w:val="clear" w:fill="2b5797"/>
            <w:tcBorders>
              <w:top w:val="single" w:sz="4" w:color="2b5797"/>
              <w:bottom w:val="single" w:sz="4" w:color="2b5797"/>
              <w:left w:val="single" w:sz="4" w:color="2b5797"/>
              <w:right w:val="single" w:sz="4" w:color="2b5797"/>
            </w:tcBorders>
          </w:tcPr>
          <w:p>
            <w:pPr>
              <w:spacing w:before="0" w:after="40"/>
            </w:pPr>
            <w:r>
              <w:rPr>
                <w:b/>
                <w:color w:val="FFFFFF"/>
                <w:sz w:val="19"/>
              </w:rPr>
              <w:t>Notes</w:t>
            </w:r>
          </w:p>
        </w:tc>
      </w:tr>
      <w:tr>
        <w:tc>
          <w:tcPr>
            <w:tcW w:type="dxa" w:w="2880"/>
            <w:shd w:val="clear" w:fill="ffffff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0" w:after="40"/>
            </w:pPr>
            <w:r>
              <w:rPr>
                <w:b/>
                <w:sz w:val="19"/>
              </w:rPr>
              <w:t>LP ceiling (nominal u=0)</w:t>
            </w:r>
          </w:p>
        </w:tc>
        <w:tc>
          <w:tcPr>
            <w:tcW w:type="dxa" w:w="2880"/>
            <w:shd w:val="clear" w:fill="ffffff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0" w:after="40"/>
            </w:pPr>
            <w:r>
              <w:rPr>
                <w:sz w:val="19"/>
              </w:rPr>
              <w:t>3.093</w:t>
            </w:r>
          </w:p>
        </w:tc>
        <w:tc>
          <w:tcPr>
            <w:tcW w:type="dxa" w:w="2880"/>
            <w:shd w:val="clear" w:fill="ffffff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0" w:after="40"/>
            </w:pPr>
            <w:r>
              <w:rPr>
                <w:sz w:val="19"/>
              </w:rPr>
              <w:t>Hard maximum; centred assembly = worst = team's target</w:t>
            </w:r>
          </w:p>
        </w:tc>
      </w:tr>
      <w:tr>
        <w:tc>
          <w:tcPr>
            <w:tcW w:type="dxa" w:w="2880"/>
            <w:shd w:val="clear" w:fill="f4f7ff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0" w:after="40"/>
            </w:pPr>
            <w:r>
              <w:rPr>
                <w:b/>
                <w:sz w:val="19"/>
              </w:rPr>
              <w:t>P95</w:t>
            </w:r>
          </w:p>
        </w:tc>
        <w:tc>
          <w:tcPr>
            <w:tcW w:type="dxa" w:w="2880"/>
            <w:shd w:val="clear" w:fill="f4f7ff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0" w:after="40"/>
            </w:pPr>
            <w:r>
              <w:rPr>
                <w:sz w:val="19"/>
              </w:rPr>
              <w:t>3.01</w:t>
            </w:r>
          </w:p>
        </w:tc>
        <w:tc>
          <w:tcPr>
            <w:tcW w:type="dxa" w:w="2880"/>
            <w:shd w:val="clear" w:fill="f4f7ff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0" w:after="40"/>
            </w:pPr>
            <w:r>
              <w:rPr>
                <w:sz w:val="19"/>
              </w:rPr>
              <w:t>95th percentile of random assemblies</w:t>
            </w:r>
          </w:p>
        </w:tc>
      </w:tr>
      <w:tr>
        <w:tc>
          <w:tcPr>
            <w:tcW w:type="dxa" w:w="2880"/>
            <w:shd w:val="clear" w:fill="ffffff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0" w:after="40"/>
            </w:pPr>
            <w:r>
              <w:rPr>
                <w:b/>
                <w:sz w:val="19"/>
              </w:rPr>
              <w:t>Mode</w:t>
            </w:r>
          </w:p>
        </w:tc>
        <w:tc>
          <w:tcPr>
            <w:tcW w:type="dxa" w:w="2880"/>
            <w:shd w:val="clear" w:fill="ffffff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0" w:after="40"/>
            </w:pPr>
            <w:r>
              <w:rPr>
                <w:sz w:val="19"/>
              </w:rPr>
              <w:t>2.49</w:t>
            </w:r>
          </w:p>
        </w:tc>
        <w:tc>
          <w:tcPr>
            <w:tcW w:type="dxa" w:w="2880"/>
            <w:shd w:val="clear" w:fill="ffffff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0" w:after="40"/>
            </w:pPr>
            <w:r>
              <w:rPr>
                <w:sz w:val="19"/>
              </w:rPr>
              <w:t>Most probable as-built value</w:t>
            </w:r>
          </w:p>
        </w:tc>
      </w:tr>
      <w:tr>
        <w:tc>
          <w:tcPr>
            <w:tcW w:type="dxa" w:w="2880"/>
            <w:shd w:val="clear" w:fill="f4f7ff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0" w:after="40"/>
            </w:pPr>
            <w:r>
              <w:rPr>
                <w:b/>
                <w:sz w:val="19"/>
              </w:rPr>
              <w:t>Median</w:t>
            </w:r>
          </w:p>
        </w:tc>
        <w:tc>
          <w:tcPr>
            <w:tcW w:type="dxa" w:w="2880"/>
            <w:shd w:val="clear" w:fill="f4f7ff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0" w:after="40"/>
            </w:pPr>
            <w:r>
              <w:rPr>
                <w:sz w:val="19"/>
              </w:rPr>
              <w:t>2.24</w:t>
            </w:r>
          </w:p>
        </w:tc>
        <w:tc>
          <w:tcPr>
            <w:tcW w:type="dxa" w:w="2880"/>
            <w:shd w:val="clear" w:fill="f4f7ff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0" w:after="40"/>
            </w:pPr>
            <w:r>
              <w:rPr>
                <w:sz w:val="19"/>
              </w:rPr>
              <w:t>Typical random assembly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23697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c_dashboar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3697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555555"/>
          <w:sz w:val="17"/>
        </w:rPr>
        <w:t>Peak-to-peak range distribution and CDF; nominal ceiling and percentiles marked.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f8e0"/>
            <w:tcBorders>
              <w:left w:val="single" w:sz="24" w:color="cc8800"/>
            </w:tcBorders>
            <w:tcBorders>
              <w:top w:val="single" w:sz="4" w:color="fff8e0"/>
              <w:bottom w:val="single" w:sz="4" w:color="fff8e0"/>
              <w:right w:val="single" w:sz="4" w:color="fff8e0"/>
            </w:tcBorders>
          </w:tcPr>
          <w:p>
            <w:pPr>
              <w:spacing w:before="0" w:after="40"/>
            </w:pPr>
            <w:r>
              <w:rPr>
                <w:b/>
                <w:color w:val="CC8800"/>
              </w:rPr>
              <w:t xml:space="preserve">Caution:  </w:t>
            </w:r>
            <w:r>
              <w:rPr>
                <w:b w:val="0"/>
                <w:sz w:val="20"/>
              </w:rPr>
              <w:t xml:space="preserve">The range is robust to assembly scatter (P95 = 3.01 mm is barely below the ceiling), and the team aims to centre the brackets — which is the worst case. Use </w:t>
            </w:r>
            <w:r>
              <w:rPr>
                <w:b/>
                <w:sz w:val="20"/>
              </w:rPr>
              <w:t>3.09 mm</w:t>
            </w:r>
            <w:r>
              <w:rPr>
                <w:b w:val="0"/>
                <w:sz w:val="20"/>
              </w:rPr>
              <w:t>. The MC P95 is not a relaxation of the design case.</w:t>
            </w:r>
          </w:p>
        </w:tc>
      </w:tr>
    </w:tbl>
    <w:p>
      <w:pPr>
        <w:spacing w:after="40"/>
      </w:pPr>
    </w:p>
    <w:p>
      <w:pPr>
        <w:spacing w:before="320" w:after="80"/>
        <w:pBdr>
          <w:bottom w:val="single" w:sz="6" w:space="2" w:color="2b5797"/>
        </w:pBdr>
      </w:pPr>
      <w:r>
        <w:rPr>
          <w:b/>
          <w:color w:val="2B5797"/>
          <w:sz w:val="28"/>
        </w:rPr>
        <w:t>4 — Worst case and typical assembly</w:t>
      </w:r>
    </w:p>
    <w:p>
      <w:pPr>
        <w:spacing w:after="120"/>
      </w:pPr>
      <w:r>
        <w:rPr>
          <w:b w:val="0"/>
          <w:sz w:val="21"/>
        </w:rPr>
        <w:t>The VV rocks along its principal rattle axis. Animations play in the served HTML report; below, each GIF (first frame) is followed by a key-frame strip showing the motion.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e8efff"/>
            <w:tcBorders>
              <w:left w:val="single" w:sz="24" w:color="2255aa"/>
            </w:tcBorders>
            <w:tcBorders>
              <w:top w:val="single" w:sz="4" w:color="e8efff"/>
              <w:bottom w:val="single" w:sz="4" w:color="e8efff"/>
              <w:right w:val="single" w:sz="4" w:color="e8efff"/>
            </w:tcBorders>
          </w:tcPr>
          <w:p>
            <w:pPr>
              <w:spacing w:before="0" w:after="40"/>
            </w:pPr>
            <w:r>
              <w:rPr>
                <w:b/>
                <w:color w:val="2255AA"/>
              </w:rPr>
              <w:t xml:space="preserve">Reading the supports:  </w:t>
            </w:r>
            <w:r>
              <w:rPr>
                <w:b w:val="0"/>
                <w:sz w:val="20"/>
              </w:rPr>
              <w:t>At each support the grey toroidal slot (red ±1.5 mm end-stops) stays a constant radial distance from the vessel — the four-bar linkage moves radially with it, so radial motion is free — while the coloured pin shows the toroidal-constraint usage (blue = slack, orange = near limit, red = at the stop).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291840" cy="329184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ttle_worst_case.gif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9184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555555"/>
          <w:sz w:val="17"/>
        </w:rPr>
        <w:t>Worst case — peak-to-peak range 3.09 mm (the design bound). [animated GIF]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123841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ip_worst_transla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12384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555555"/>
          <w:sz w:val="17"/>
        </w:rPr>
        <w:t>Worst-case key frames (×500 magnification).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291840" cy="329184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ttle_mode.gif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29184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555555"/>
          <w:sz w:val="17"/>
        </w:rPr>
        <w:t>Typical as-built assembly, near the distribution mode — range ≈ 2.49 mm (the most likely value). [animated GIF]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123841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ip_mode_translat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12384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555555"/>
          <w:sz w:val="17"/>
        </w:rPr>
        <w:t>Near-mode (typical assembly) key frames (×500 magnification).</w:t>
      </w:r>
    </w:p>
    <w:p>
      <w:pPr>
        <w:spacing w:before="320" w:after="80"/>
        <w:pBdr>
          <w:bottom w:val="single" w:sz="6" w:space="2" w:color="2b5797"/>
        </w:pBdr>
      </w:pPr>
      <w:r>
        <w:rPr>
          <w:b/>
          <w:color w:val="2B5797"/>
          <w:sz w:val="28"/>
        </w:rPr>
        <w:t>5 — Effect of gap measurements (one sector landed)</w:t>
      </w:r>
    </w:p>
    <w:p>
      <w:pPr>
        <w:spacing w:after="120"/>
      </w:pPr>
      <w:r>
        <w:rPr>
          <w:b w:val="0"/>
          <w:sz w:val="21"/>
        </w:rPr>
        <w:t>Measuring a bracket gap fixes where its 3 mm constraint band sits, not its width — so the bound tightens only when a measured offset happens to be a binding constraint. Because AᵀA is diagonal, adjacent vs spread-out supports are statistically identical (no 'coupled cluster' to target).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2b5797"/>
            <w:tcBorders>
              <w:top w:val="single" w:sz="4" w:color="2b5797"/>
              <w:bottom w:val="single" w:sz="4" w:color="2b5797"/>
              <w:left w:val="single" w:sz="4" w:color="2b5797"/>
              <w:right w:val="single" w:sz="4" w:color="2b5797"/>
            </w:tcBorders>
          </w:tcPr>
          <w:p>
            <w:pPr>
              <w:spacing w:before="0" w:after="40"/>
            </w:pPr>
            <w:r>
              <w:rPr>
                <w:b/>
                <w:color w:val="FFFFFF"/>
                <w:sz w:val="19"/>
              </w:rPr>
              <w:t>Supports measured (k of 9)</w:t>
            </w:r>
          </w:p>
        </w:tc>
        <w:tc>
          <w:tcPr>
            <w:tcW w:type="dxa" w:w="2880"/>
            <w:shd w:val="clear" w:fill="2b5797"/>
            <w:tcBorders>
              <w:top w:val="single" w:sz="4" w:color="2b5797"/>
              <w:bottom w:val="single" w:sz="4" w:color="2b5797"/>
              <w:left w:val="single" w:sz="4" w:color="2b5797"/>
              <w:right w:val="single" w:sz="4" w:color="2b5797"/>
            </w:tcBorders>
          </w:tcPr>
          <w:p>
            <w:pPr>
              <w:spacing w:before="0" w:after="40"/>
            </w:pPr>
            <w:r>
              <w:rPr>
                <w:b/>
                <w:color w:val="FFFFFF"/>
                <w:sz w:val="19"/>
              </w:rPr>
              <w:t>Conditional P95 (mm)</w:t>
            </w:r>
          </w:p>
        </w:tc>
        <w:tc>
          <w:tcPr>
            <w:tcW w:type="dxa" w:w="2880"/>
            <w:shd w:val="clear" w:fill="2b5797"/>
            <w:tcBorders>
              <w:top w:val="single" w:sz="4" w:color="2b5797"/>
              <w:bottom w:val="single" w:sz="4" w:color="2b5797"/>
              <w:left w:val="single" w:sz="4" w:color="2b5797"/>
              <w:right w:val="single" w:sz="4" w:color="2b5797"/>
            </w:tcBorders>
          </w:tcPr>
          <w:p>
            <w:pPr>
              <w:spacing w:before="0" w:after="40"/>
            </w:pPr>
            <w:r>
              <w:rPr>
                <w:b/>
                <w:color w:val="FFFFFF"/>
                <w:sz w:val="19"/>
              </w:rPr>
              <w:t>Effect</w:t>
            </w:r>
          </w:p>
        </w:tc>
      </w:tr>
      <w:tr>
        <w:tc>
          <w:tcPr>
            <w:tcW w:type="dxa" w:w="2880"/>
            <w:shd w:val="clear" w:fill="ffffff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0" w:after="40"/>
            </w:pPr>
            <w:r>
              <w:rPr>
                <w:b/>
                <w:sz w:val="19"/>
              </w:rPr>
              <w:t>0 (none — today's design state)</w:t>
            </w:r>
          </w:p>
        </w:tc>
        <w:tc>
          <w:tcPr>
            <w:tcW w:type="dxa" w:w="2880"/>
            <w:shd w:val="clear" w:fill="ffffff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0" w:after="40"/>
            </w:pPr>
            <w:r>
              <w:rPr>
                <w:sz w:val="19"/>
              </w:rPr>
              <w:t>3.01</w:t>
            </w:r>
          </w:p>
        </w:tc>
        <w:tc>
          <w:tcPr>
            <w:tcW w:type="dxa" w:w="2880"/>
            <w:shd w:val="clear" w:fill="ffffff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0" w:after="40"/>
            </w:pPr>
            <w:r>
              <w:rPr>
                <w:sz w:val="19"/>
              </w:rPr>
              <w:t>baseline</w:t>
            </w:r>
          </w:p>
        </w:tc>
      </w:tr>
      <w:tr>
        <w:tc>
          <w:tcPr>
            <w:tcW w:type="dxa" w:w="2880"/>
            <w:shd w:val="clear" w:fill="f4f7ff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0" w:after="40"/>
            </w:pPr>
            <w:r>
              <w:rPr>
                <w:b/>
                <w:sz w:val="19"/>
              </w:rPr>
              <w:t>1  (one sector landed)</w:t>
            </w:r>
          </w:p>
        </w:tc>
        <w:tc>
          <w:tcPr>
            <w:tcW w:type="dxa" w:w="2880"/>
            <w:shd w:val="clear" w:fill="f4f7ff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0" w:after="40"/>
            </w:pPr>
            <w:r>
              <w:rPr>
                <w:sz w:val="19"/>
              </w:rPr>
              <w:t>≈ 3.0</w:t>
            </w:r>
          </w:p>
        </w:tc>
        <w:tc>
          <w:tcPr>
            <w:tcW w:type="dxa" w:w="2880"/>
            <w:shd w:val="clear" w:fill="f4f7ff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0" w:after="40"/>
            </w:pPr>
            <w:r>
              <w:rPr>
                <w:sz w:val="19"/>
              </w:rPr>
              <w:t>no meaningful change</w:t>
            </w:r>
          </w:p>
        </w:tc>
      </w:tr>
      <w:tr>
        <w:tc>
          <w:tcPr>
            <w:tcW w:type="dxa" w:w="2880"/>
            <w:shd w:val="clear" w:fill="ffffff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0" w:after="40"/>
            </w:pPr>
            <w:r>
              <w:rPr>
                <w:b/>
                <w:sz w:val="19"/>
              </w:rPr>
              <w:t>4</w:t>
            </w:r>
          </w:p>
        </w:tc>
        <w:tc>
          <w:tcPr>
            <w:tcW w:type="dxa" w:w="2880"/>
            <w:shd w:val="clear" w:fill="ffffff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0" w:after="40"/>
            </w:pPr>
            <w:r>
              <w:rPr>
                <w:sz w:val="19"/>
              </w:rPr>
              <w:t>≈ 2.9</w:t>
            </w:r>
          </w:p>
        </w:tc>
        <w:tc>
          <w:tcPr>
            <w:tcW w:type="dxa" w:w="2880"/>
            <w:shd w:val="clear" w:fill="ffffff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0" w:after="40"/>
            </w:pPr>
            <w:r>
              <w:rPr>
                <w:sz w:val="19"/>
              </w:rPr>
              <w:t>marginal</w:t>
            </w:r>
          </w:p>
        </w:tc>
      </w:tr>
      <w:tr>
        <w:tc>
          <w:tcPr>
            <w:tcW w:type="dxa" w:w="2880"/>
            <w:shd w:val="clear" w:fill="f4f7ff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0" w:after="40"/>
            </w:pPr>
            <w:r>
              <w:rPr>
                <w:b/>
                <w:sz w:val="19"/>
              </w:rPr>
              <w:t>6</w:t>
            </w:r>
          </w:p>
        </w:tc>
        <w:tc>
          <w:tcPr>
            <w:tcW w:type="dxa" w:w="2880"/>
            <w:shd w:val="clear" w:fill="f4f7ff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0" w:after="40"/>
            </w:pPr>
            <w:r>
              <w:rPr>
                <w:sz w:val="19"/>
              </w:rPr>
              <w:t>≈ 2.6</w:t>
            </w:r>
          </w:p>
        </w:tc>
        <w:tc>
          <w:tcPr>
            <w:tcW w:type="dxa" w:w="2880"/>
            <w:shd w:val="clear" w:fill="f4f7ff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0" w:after="40"/>
            </w:pPr>
            <w:r>
              <w:rPr>
                <w:sz w:val="19"/>
              </w:rPr>
              <w:t>tightening begins</w:t>
            </w:r>
          </w:p>
        </w:tc>
      </w:tr>
      <w:tr>
        <w:tc>
          <w:tcPr>
            <w:tcW w:type="dxa" w:w="2880"/>
            <w:shd w:val="clear" w:fill="ffffff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0" w:after="40"/>
            </w:pPr>
            <w:r>
              <w:rPr>
                <w:b/>
                <w:sz w:val="19"/>
              </w:rPr>
              <w:t>9 (all)</w:t>
            </w:r>
          </w:p>
        </w:tc>
        <w:tc>
          <w:tcPr>
            <w:tcW w:type="dxa" w:w="2880"/>
            <w:shd w:val="clear" w:fill="ffffff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0" w:after="40"/>
            </w:pPr>
            <w:r>
              <w:rPr>
                <w:sz w:val="19"/>
              </w:rPr>
              <w:t>deterministic ≈ 2.5</w:t>
            </w:r>
          </w:p>
        </w:tc>
        <w:tc>
          <w:tcPr>
            <w:tcW w:type="dxa" w:w="2880"/>
            <w:shd w:val="clear" w:fill="ffffff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0" w:after="40"/>
            </w:pPr>
            <w:r>
              <w:rPr>
                <w:sz w:val="19"/>
              </w:rPr>
              <w:t>one value; 0.2–3.09; never 0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231692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rtial_measuremen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3169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555555"/>
          <w:sz w:val="17"/>
        </w:rPr>
        <w:t>Left: what measuring all gaps reveals (a value from the distribution, never 0). Right: conditional P95 vs gaps measured.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f0ee"/>
            <w:tcBorders>
              <w:left w:val="single" w:sz="24" w:color="cc2200"/>
            </w:tcBorders>
            <w:tcBorders>
              <w:top w:val="single" w:sz="4" w:color="fff0ee"/>
              <w:bottom w:val="single" w:sz="4" w:color="fff0ee"/>
              <w:right w:val="single" w:sz="4" w:color="fff0ee"/>
            </w:tcBorders>
          </w:tcPr>
          <w:p>
            <w:pPr>
              <w:spacing w:before="0" w:after="40"/>
            </w:pPr>
            <w:r>
              <w:rPr>
                <w:b/>
                <w:color w:val="CC2200"/>
              </w:rPr>
              <w:t xml:space="preserve">Current state:  </w:t>
            </w:r>
            <w:r>
              <w:rPr>
                <w:b w:val="0"/>
                <w:sz w:val="20"/>
              </w:rPr>
              <w:t>With one VV sector landed (k=1), the q95 bound is statistically unchanged from the all-unknown baseline. The bound to use today remains 3.09 mm. Measurement reveals the rattle, it does not relieve it; a material reduction needs roughly five or more sectors measured.</w:t>
            </w:r>
          </w:p>
        </w:tc>
      </w:tr>
    </w:tbl>
    <w:p>
      <w:pPr>
        <w:spacing w:after="40"/>
      </w:pPr>
    </w:p>
    <w:p>
      <w:pPr>
        <w:spacing w:before="320" w:after="80"/>
        <w:pBdr>
          <w:bottom w:val="single" w:sz="6" w:space="2" w:color="2b5797"/>
        </w:pBdr>
      </w:pPr>
      <w:r>
        <w:rPr>
          <w:b/>
          <w:color w:val="2B5797"/>
          <w:sz w:val="28"/>
        </w:rPr>
        <w:t>6 — Recommendations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2b5797"/>
            <w:tcBorders>
              <w:top w:val="single" w:sz="4" w:color="2b5797"/>
              <w:bottom w:val="single" w:sz="4" w:color="2b5797"/>
              <w:left w:val="single" w:sz="4" w:color="2b5797"/>
              <w:right w:val="single" w:sz="4" w:color="2b5797"/>
            </w:tcBorders>
          </w:tcPr>
          <w:p>
            <w:pPr>
              <w:spacing w:before="0" w:after="40"/>
            </w:pPr>
            <w:r>
              <w:rPr>
                <w:b/>
                <w:color w:val="FFFFFF"/>
                <w:sz w:val="19"/>
              </w:rPr>
              <w:t>#</w:t>
            </w:r>
          </w:p>
        </w:tc>
        <w:tc>
          <w:tcPr>
            <w:tcW w:type="dxa" w:w="4320"/>
            <w:shd w:val="clear" w:fill="2b5797"/>
            <w:tcBorders>
              <w:top w:val="single" w:sz="4" w:color="2b5797"/>
              <w:bottom w:val="single" w:sz="4" w:color="2b5797"/>
              <w:left w:val="single" w:sz="4" w:color="2b5797"/>
              <w:right w:val="single" w:sz="4" w:color="2b5797"/>
            </w:tcBorders>
          </w:tcPr>
          <w:p>
            <w:pPr>
              <w:spacing w:before="0" w:after="40"/>
            </w:pPr>
            <w:r>
              <w:rPr>
                <w:b/>
                <w:color w:val="FFFFFF"/>
                <w:sz w:val="19"/>
              </w:rPr>
              <w:t>Recommendation</w:t>
            </w:r>
          </w:p>
        </w:tc>
      </w:tr>
      <w:tr>
        <w:tc>
          <w:tcPr>
            <w:tcW w:type="dxa" w:w="4320"/>
            <w:shd w:val="clear" w:fill="ffffff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0" w:after="40"/>
            </w:pPr>
            <w:r>
              <w:rPr>
                <w:b/>
                <w:sz w:val="19"/>
              </w:rPr>
              <w:t>1</w:t>
            </w:r>
          </w:p>
        </w:tc>
        <w:tc>
          <w:tcPr>
            <w:tcW w:type="dxa" w:w="4320"/>
            <w:shd w:val="clear" w:fill="ffffff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0" w:after="40"/>
            </w:pPr>
            <w:r>
              <w:rPr>
                <w:sz w:val="19"/>
              </w:rPr>
              <w:t>Use 3.09 mm peak-to-peak as the bounding n=1 lateral wall displacement (nominal/centred = worst case = ceiling).</w:t>
            </w:r>
          </w:p>
        </w:tc>
      </w:tr>
      <w:tr>
        <w:tc>
          <w:tcPr>
            <w:tcW w:type="dxa" w:w="4320"/>
            <w:shd w:val="clear" w:fill="f4f7ff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0" w:after="40"/>
            </w:pPr>
            <w:r>
              <w:rPr>
                <w:b/>
                <w:sz w:val="19"/>
              </w:rPr>
              <w:t>2</w:t>
            </w:r>
          </w:p>
        </w:tc>
        <w:tc>
          <w:tcPr>
            <w:tcW w:type="dxa" w:w="4320"/>
            <w:shd w:val="clear" w:fill="f4f7ff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0" w:after="40"/>
            </w:pPr>
            <w:r>
              <w:rPr>
                <w:sz w:val="19"/>
              </w:rPr>
              <w:t>Do not rely on the MC P95 (3.01 mm) as a relaxation — it is ~3% below the ceiling and the realistic assembly is centred.</w:t>
            </w:r>
          </w:p>
        </w:tc>
      </w:tr>
      <w:tr>
        <w:tc>
          <w:tcPr>
            <w:tcW w:type="dxa" w:w="4320"/>
            <w:shd w:val="clear" w:fill="ffffff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0" w:after="40"/>
            </w:pPr>
            <w:r>
              <w:rPr>
                <w:b/>
                <w:sz w:val="19"/>
              </w:rPr>
              <w:t>3</w:t>
            </w:r>
          </w:p>
        </w:tc>
        <w:tc>
          <w:tcPr>
            <w:tcW w:type="dxa" w:w="4320"/>
            <w:shd w:val="clear" w:fill="ffffff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0" w:after="40"/>
            </w:pPr>
            <w:r>
              <w:rPr>
                <w:sz w:val="19"/>
              </w:rPr>
              <w:t>Assess start-up heat-load localisation on the inner-wall limiter (n=1) for an offset up to ≈ 2.9 mm single-sided, 3.09 mm shot-to-shot.</w:t>
            </w:r>
          </w:p>
        </w:tc>
      </w:tr>
      <w:tr>
        <w:tc>
          <w:tcPr>
            <w:tcW w:type="dxa" w:w="4320"/>
            <w:shd w:val="clear" w:fill="f4f7ff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0" w:after="40"/>
            </w:pPr>
            <w:r>
              <w:rPr>
                <w:b/>
                <w:sz w:val="19"/>
              </w:rPr>
              <w:t>4</w:t>
            </w:r>
          </w:p>
        </w:tc>
        <w:tc>
          <w:tcPr>
            <w:tcW w:type="dxa" w:w="4320"/>
            <w:shd w:val="clear" w:fill="f4f7ff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0" w:after="40"/>
            </w:pPr>
            <w:r>
              <w:rPr>
                <w:sz w:val="19"/>
              </w:rPr>
              <w:t>Assess dynamic impact loads on the gravity supports from EM-driven motion across the ±1.5 mm gap, and fatigue from repeated impact cycling.</w:t>
            </w:r>
          </w:p>
        </w:tc>
      </w:tr>
      <w:tr>
        <w:tc>
          <w:tcPr>
            <w:tcW w:type="dxa" w:w="4320"/>
            <w:shd w:val="clear" w:fill="ffffff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0" w:after="40"/>
            </w:pPr>
            <w:r>
              <w:rPr>
                <w:b/>
                <w:sz w:val="19"/>
              </w:rPr>
              <w:t>5</w:t>
            </w:r>
          </w:p>
        </w:tc>
        <w:tc>
          <w:tcPr>
            <w:tcW w:type="dxa" w:w="4320"/>
            <w:shd w:val="clear" w:fill="ffffff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0" w:after="40"/>
            </w:pPr>
            <w:r>
              <w:rPr>
                <w:sz w:val="19"/>
              </w:rPr>
              <w:t>The bound is set by the 3 mm toroidal slot and is largely irreducible by assembly control — the lever is the tolerance or added toroidal restraint.</w:t>
            </w:r>
          </w:p>
        </w:tc>
      </w:tr>
      <w:tr>
        <w:tc>
          <w:tcPr>
            <w:tcW w:type="dxa" w:w="4320"/>
            <w:shd w:val="clear" w:fill="f4f7ff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0" w:after="40"/>
            </w:pPr>
            <w:r>
              <w:rPr>
                <w:b/>
                <w:sz w:val="19"/>
              </w:rPr>
              <w:t>6</w:t>
            </w:r>
          </w:p>
        </w:tc>
        <w:tc>
          <w:tcPr>
            <w:tcW w:type="dxa" w:w="4320"/>
            <w:shd w:val="clear" w:fill="f4f7ff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0" w:after="40"/>
            </w:pPr>
            <w:r>
              <w:rPr>
                <w:sz w:val="19"/>
              </w:rPr>
              <w:t>Gap metrology gives little benefit until ≥ 5 sectors are measured; confirm whether 'landed' implies a measured gap.</w:t>
            </w:r>
          </w:p>
        </w:tc>
      </w:tr>
      <w:tr>
        <w:tc>
          <w:tcPr>
            <w:tcW w:type="dxa" w:w="4320"/>
            <w:shd w:val="clear" w:fill="ffffff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0" w:after="40"/>
            </w:pPr>
            <w:r>
              <w:rPr>
                <w:b/>
                <w:sz w:val="19"/>
              </w:rPr>
              <w:t>7</w:t>
            </w:r>
          </w:p>
        </w:tc>
        <w:tc>
          <w:tcPr>
            <w:tcW w:type="dxa" w:w="4320"/>
            <w:shd w:val="clear" w:fill="ffffff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0" w:after="40"/>
            </w:pPr>
            <w:r>
              <w:rPr>
                <w:sz w:val="19"/>
              </w:rPr>
              <w:t>Confirm the ±1.5 mm vs ±3 mm slot interpretation against the as-built GS spec (scales every number ×2).</w:t>
            </w:r>
          </w:p>
        </w:tc>
      </w:tr>
      <w:tr>
        <w:tc>
          <w:tcPr>
            <w:tcW w:type="dxa" w:w="4320"/>
            <w:shd w:val="clear" w:fill="f4f7ff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0" w:after="40"/>
            </w:pPr>
            <w:r>
              <w:rPr>
                <w:b/>
                <w:sz w:val="19"/>
              </w:rPr>
              <w:t>8</w:t>
            </w:r>
          </w:p>
        </w:tc>
        <w:tc>
          <w:tcPr>
            <w:tcW w:type="dxa" w:w="4320"/>
            <w:shd w:val="clear" w:fill="f4f7ff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0" w:after="40"/>
            </w:pPr>
            <w:r>
              <w:rPr>
                <w:sz w:val="19"/>
              </w:rPr>
              <w:t>Treat the ±187.5 µrad rotation (n=0) as a separate local-alignment case for ports/penetrations.</w:t>
            </w:r>
          </w:p>
        </w:tc>
      </w:tr>
    </w:tbl>
    <w:p>
      <w:pPr>
        <w:spacing w:after="40"/>
      </w:pPr>
    </w:p>
    <w:p>
      <w:r>
        <w:rPr>
          <w:color w:val="555555"/>
          <w:sz w:val="16"/>
        </w:rPr>
        <w:t>Monte Carlo generated reproducibly by vv_mc_generator.py (scipy HiGHS LP, peak-to-peak range metric, N=5000, fixed seed 20260527 → committed data in data/). Figures and animations by vv_viz.py. Every number regenerates from the repository. Source: Simon-McIntosh/vv.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gif"/><Relationship Id="rId11" Type="http://schemas.openxmlformats.org/officeDocument/2006/relationships/image" Target="media/image3.png"/><Relationship Id="rId12" Type="http://schemas.openxmlformats.org/officeDocument/2006/relationships/image" Target="media/image4.gif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