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4DCED" w14:textId="77777777" w:rsidR="007F6FE0" w:rsidRDefault="00D13A10" w:rsidP="009A13F1">
      <w:pPr>
        <w:bidi w:val="0"/>
        <w:spacing w:after="60"/>
        <w:jc w:val="center"/>
      </w:pPr>
      <w:proofErr w:type="spellStart"/>
      <w:r>
        <w:rPr>
          <w:b/>
          <w:bCs/>
          <w:color w:val="1F4E79"/>
          <w:sz w:val="40"/>
          <w:szCs w:val="40"/>
        </w:rPr>
        <w:t>SecureAssist</w:t>
      </w:r>
      <w:proofErr w:type="spellEnd"/>
      <w:r>
        <w:rPr>
          <w:b/>
          <w:bCs/>
          <w:color w:val="1F4E79"/>
          <w:sz w:val="40"/>
          <w:szCs w:val="40"/>
        </w:rPr>
        <w:t xml:space="preserve"> — Detection Rate Evaluation</w:t>
      </w:r>
    </w:p>
    <w:p w14:paraId="04BC54CE" w14:textId="77777777" w:rsidR="007F6FE0" w:rsidRDefault="00D13A10" w:rsidP="009A13F1">
      <w:pPr>
        <w:bidi w:val="0"/>
        <w:spacing w:after="40"/>
        <w:jc w:val="center"/>
      </w:pPr>
      <w:r>
        <w:rPr>
          <w:color w:val="2E75B6"/>
          <w:sz w:val="22"/>
          <w:szCs w:val="22"/>
        </w:rPr>
        <w:t>Static Analyzer Results and Comparison with Published SAST Benchmarks</w:t>
      </w:r>
    </w:p>
    <w:p w14:paraId="480E1B1B" w14:textId="77777777" w:rsidR="007F6FE0" w:rsidRDefault="00D13A10" w:rsidP="009A13F1">
      <w:pPr>
        <w:bidi w:val="0"/>
        <w:spacing w:after="240"/>
        <w:jc w:val="center"/>
      </w:pPr>
      <w:r>
        <w:rPr>
          <w:i/>
          <w:iCs/>
          <w:color w:val="808080"/>
          <w:sz w:val="18"/>
          <w:szCs w:val="18"/>
        </w:rPr>
        <w:t>Hybrid static analyzer + fine-tuned LLM · 10 CWEs · Python, Java, C</w:t>
      </w:r>
    </w:p>
    <w:p w14:paraId="6032C475" w14:textId="77777777" w:rsidR="007F6FE0" w:rsidRDefault="007F6FE0" w:rsidP="009A13F1">
      <w:pPr>
        <w:pBdr>
          <w:bottom w:val="single" w:sz="6" w:space="0" w:color="1F4E79"/>
        </w:pBdr>
        <w:bidi w:val="0"/>
        <w:spacing w:after="200"/>
      </w:pPr>
    </w:p>
    <w:p w14:paraId="16A79AB1" w14:textId="77777777" w:rsidR="007F6FE0" w:rsidRDefault="00D13A10" w:rsidP="009A13F1">
      <w:pPr>
        <w:pStyle w:val="Heading1"/>
        <w:spacing w:before="240" w:after="100"/>
      </w:pPr>
      <w:r>
        <w:rPr>
          <w:color w:val="1F4E79"/>
        </w:rPr>
        <w:t>1. Executive Summary</w:t>
      </w:r>
    </w:p>
    <w:p w14:paraId="36E63824" w14:textId="77777777" w:rsidR="007F6FE0" w:rsidRDefault="00D13A10" w:rsidP="009A13F1">
      <w:pPr>
        <w:bidi w:val="0"/>
        <w:spacing w:after="120"/>
      </w:pPr>
      <w:proofErr w:type="spellStart"/>
      <w:r>
        <w:t>SecureAssist</w:t>
      </w:r>
      <w:proofErr w:type="spellEnd"/>
      <w:r>
        <w:t xml:space="preserve"> is a developer-assistance tool: a hybrid static analyzer whose findings feed a fine-tuned large language model that explains and fixes vulnerabilities, delivered inside the IDE with an AI teacher agent. The analyzer is single-file and taint/pattern-based, covering ten CWEs across Python, Java, and C.</w:t>
      </w:r>
    </w:p>
    <w:p w14:paraId="39048DA0" w14:textId="77777777" w:rsidR="007F6FE0" w:rsidRDefault="00D13A10" w:rsidP="009A13F1">
      <w:pPr>
        <w:bidi w:val="0"/>
        <w:spacing w:after="120"/>
      </w:pPr>
      <w:r>
        <w:t>We evaluated the analyzer against two industry-standard third-party benchmarks (OWASP Benchmark, NIST Juliet), against an established open-source tool (Bandit), and against a curated set of real-world vulnerable applications. This document reports those results and compares them with published SAST-tool performance from the academic literature.</w:t>
      </w:r>
    </w:p>
    <w:p w14:paraId="7EBA1713" w14:textId="77777777" w:rsidR="007F6FE0" w:rsidRDefault="00D13A10" w:rsidP="009A13F1">
      <w:pPr>
        <w:bidi w:val="0"/>
        <w:spacing w:after="120"/>
      </w:pPr>
      <w:r>
        <w:rPr>
          <w:b/>
          <w:bCs/>
        </w:rPr>
        <w:t xml:space="preserve">Headline: </w:t>
      </w:r>
      <w:r>
        <w:t>On real-world code the analyzer detects 87–97% of vulnerabilities at a 0% false-positive rate. On adversarial synthetic benchmarks its detection is strong for injection, cryptography, and use-after-free, and weaker for memory-bounds errors (integer/buffer overflow) — the same limitation reported for essentially all SAST tools in the literature.</w:t>
      </w:r>
    </w:p>
    <w:p w14:paraId="44143FF2" w14:textId="77777777" w:rsidR="007F6FE0" w:rsidRDefault="00D13A10" w:rsidP="009A13F1">
      <w:pPr>
        <w:pStyle w:val="Heading1"/>
        <w:spacing w:before="240" w:after="100"/>
      </w:pPr>
      <w:r>
        <w:rPr>
          <w:color w:val="1F4E79"/>
        </w:rPr>
        <w:t>2. Our Detection Rates</w:t>
      </w:r>
    </w:p>
    <w:p w14:paraId="57E5ED1F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2.1 OWASP Benchmark — Java (1,505 cases, third-party)</w:t>
      </w:r>
    </w:p>
    <w:p w14:paraId="2AC69FAC" w14:textId="77777777" w:rsidR="007F6FE0" w:rsidRDefault="00D13A10" w:rsidP="009A13F1">
      <w:pPr>
        <w:bidi w:val="0"/>
        <w:spacing w:after="120"/>
      </w:pPr>
      <w:r>
        <w:t>The official metric is the Youden score (True-Positive Rate − False-Positive Rate).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400"/>
        <w:gridCol w:w="1500"/>
        <w:gridCol w:w="1500"/>
        <w:gridCol w:w="2360"/>
      </w:tblGrid>
      <w:tr w:rsidR="007F6FE0" w14:paraId="017ED264" w14:textId="77777777">
        <w:trPr>
          <w:tblHeader/>
        </w:trPr>
        <w:tc>
          <w:tcPr>
            <w:tcW w:w="2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8420F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Category (CWE)</w:t>
            </w:r>
          </w:p>
        </w:tc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AF240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Detection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C2897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FP rate</w:t>
            </w:r>
          </w:p>
        </w:tc>
        <w:tc>
          <w:tcPr>
            <w:tcW w:w="15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DEA32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Score</w:t>
            </w:r>
          </w:p>
        </w:tc>
        <w:tc>
          <w:tcPr>
            <w:tcW w:w="23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E42A0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7F6FE0" w14:paraId="07915DB6" w14:textId="77777777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59E6C5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Weak cipher (327)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7065D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BBC0E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0%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E52534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100</w:t>
            </w:r>
          </w:p>
        </w:tc>
        <w:tc>
          <w:tcPr>
            <w:tcW w:w="2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12551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Pattern presence</w:t>
            </w:r>
          </w:p>
        </w:tc>
      </w:tr>
      <w:tr w:rsidR="007F6FE0" w14:paraId="4B082AC0" w14:textId="77777777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C4B4F4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Weak hash (328)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EEA6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69%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54461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0%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12C3AA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69</w:t>
            </w:r>
          </w:p>
        </w:tc>
        <w:tc>
          <w:tcPr>
            <w:tcW w:w="2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937A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Clean, no FP</w:t>
            </w:r>
          </w:p>
        </w:tc>
      </w:tr>
      <w:tr w:rsidR="007F6FE0" w14:paraId="16A3D578" w14:textId="77777777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5CECFB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Command injection (78)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FC1BD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93%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C606D0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55%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003A7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38</w:t>
            </w:r>
          </w:p>
        </w:tc>
        <w:tc>
          <w:tcPr>
            <w:tcW w:w="2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CEFBE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Taint flow</w:t>
            </w:r>
          </w:p>
        </w:tc>
      </w:tr>
      <w:tr w:rsidR="007F6FE0" w14:paraId="23784112" w14:textId="77777777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4127AC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Path traversal (22)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BCB7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83%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D9C090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46%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BD4BD4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37</w:t>
            </w:r>
          </w:p>
        </w:tc>
        <w:tc>
          <w:tcPr>
            <w:tcW w:w="2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12ACB3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Taint flow</w:t>
            </w:r>
          </w:p>
        </w:tc>
      </w:tr>
      <w:tr w:rsidR="007F6FE0" w14:paraId="43145DA1" w14:textId="77777777">
        <w:tc>
          <w:tcPr>
            <w:tcW w:w="2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6514B2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SQL injection (89)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D7E39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63%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37D37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33%</w:t>
            </w:r>
          </w:p>
        </w:tc>
        <w:tc>
          <w:tcPr>
            <w:tcW w:w="15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75A88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30</w:t>
            </w:r>
          </w:p>
        </w:tc>
        <w:tc>
          <w:tcPr>
            <w:tcW w:w="23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C8EC0B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Taint flow</w:t>
            </w:r>
          </w:p>
        </w:tc>
      </w:tr>
      <w:tr w:rsidR="007F6FE0" w14:paraId="34922BC4" w14:textId="77777777">
        <w:tc>
          <w:tcPr>
            <w:tcW w:w="2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8B83C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000000"/>
                <w:sz w:val="19"/>
                <w:szCs w:val="19"/>
              </w:rPr>
              <w:t>Overall (avg per-category)</w:t>
            </w:r>
          </w:p>
        </w:tc>
        <w:tc>
          <w:tcPr>
            <w:tcW w:w="1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0D255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78%</w:t>
            </w:r>
          </w:p>
        </w:tc>
        <w:tc>
          <w:tcPr>
            <w:tcW w:w="15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1B628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29%</w:t>
            </w:r>
          </w:p>
        </w:tc>
        <w:tc>
          <w:tcPr>
            <w:tcW w:w="15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A60DF9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54.7</w:t>
            </w:r>
          </w:p>
        </w:tc>
        <w:tc>
          <w:tcPr>
            <w:tcW w:w="236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72E398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Youden</w:t>
            </w:r>
          </w:p>
        </w:tc>
      </w:tr>
    </w:tbl>
    <w:p w14:paraId="66A5C71B" w14:textId="77777777" w:rsidR="007F6FE0" w:rsidRDefault="00D13A10" w:rsidP="009A13F1">
      <w:pPr>
        <w:bidi w:val="0"/>
        <w:spacing w:after="120"/>
      </w:pPr>
      <w:r>
        <w:rPr>
          <w:b/>
          <w:bCs/>
          <w:sz w:val="18"/>
          <w:szCs w:val="18"/>
        </w:rPr>
        <w:t xml:space="preserve">Note: </w:t>
      </w:r>
      <w:r>
        <w:rPr>
          <w:i/>
          <w:iCs/>
          <w:sz w:val="18"/>
          <w:szCs w:val="18"/>
        </w:rPr>
        <w:t>The high FP rates on the taint categories come exclusively from OWASP’s deliberately adversarial “safe” test cases (</w:t>
      </w:r>
      <w:proofErr w:type="gramStart"/>
      <w:r>
        <w:rPr>
          <w:i/>
          <w:iCs/>
          <w:sz w:val="18"/>
          <w:szCs w:val="18"/>
        </w:rPr>
        <w:t>e.g.</w:t>
      </w:r>
      <w:proofErr w:type="gramEnd"/>
      <w:r>
        <w:rPr>
          <w:i/>
          <w:iCs/>
          <w:sz w:val="18"/>
          <w:szCs w:val="18"/>
        </w:rPr>
        <w:t xml:space="preserve"> tainted data stored in a collection under one key and read back from another). These patterns do not occur in real code.</w:t>
      </w:r>
    </w:p>
    <w:p w14:paraId="00D44CE6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2.2 NIST Juliet — C (intra-procedural scope)</w:t>
      </w:r>
    </w:p>
    <w:p w14:paraId="6B96D138" w14:textId="77777777" w:rsidR="007F6FE0" w:rsidRDefault="00D13A10" w:rsidP="009A13F1">
      <w:pPr>
        <w:bidi w:val="0"/>
        <w:spacing w:after="120"/>
      </w:pPr>
      <w:r>
        <w:t>Inter-procedural variants (flow crossing functions/files) are excluded, as the analyzer is single-file by design; this scoping is disclosed.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600"/>
        <w:gridCol w:w="1600"/>
        <w:gridCol w:w="1400"/>
        <w:gridCol w:w="1560"/>
      </w:tblGrid>
      <w:tr w:rsidR="007F6FE0" w14:paraId="56329BDB" w14:textId="77777777">
        <w:trPr>
          <w:tblHeader/>
        </w:trPr>
        <w:tc>
          <w:tcPr>
            <w:tcW w:w="32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53DFE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Category (CWE)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806D3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Detection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AA66A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FP</w:t>
            </w:r>
          </w:p>
        </w:tc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F2194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Youden</w:t>
            </w:r>
          </w:p>
        </w:tc>
        <w:tc>
          <w:tcPr>
            <w:tcW w:w="15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7E1E9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Verdict</w:t>
            </w:r>
          </w:p>
        </w:tc>
      </w:tr>
      <w:tr w:rsidR="007F6FE0" w14:paraId="2F32D0E0" w14:textId="77777777">
        <w:tc>
          <w:tcPr>
            <w:tcW w:w="32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21645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Use-after-free (416)</w:t>
            </w:r>
          </w:p>
        </w:tc>
        <w:tc>
          <w:tcPr>
            <w:tcW w:w="16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D3C9D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95.2%</w:t>
            </w:r>
          </w:p>
        </w:tc>
        <w:tc>
          <w:tcPr>
            <w:tcW w:w="16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BB546F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0%</w:t>
            </w:r>
          </w:p>
        </w:tc>
        <w:tc>
          <w:tcPr>
            <w:tcW w:w="14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A31AD6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95</w:t>
            </w:r>
          </w:p>
        </w:tc>
        <w:tc>
          <w:tcPr>
            <w:tcW w:w="156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496EF7" w14:textId="77777777" w:rsidR="007F6FE0" w:rsidRDefault="00D13A10" w:rsidP="009A13F1">
            <w:pPr>
              <w:bidi w:val="0"/>
              <w:jc w:val="center"/>
            </w:pPr>
            <w:r>
              <w:rPr>
                <w:color w:val="375623"/>
                <w:sz w:val="19"/>
                <w:szCs w:val="19"/>
              </w:rPr>
              <w:t>Excellent</w:t>
            </w:r>
          </w:p>
        </w:tc>
      </w:tr>
      <w:tr w:rsidR="007F6FE0" w14:paraId="079F4BF2" w14:textId="77777777">
        <w:tc>
          <w:tcPr>
            <w:tcW w:w="32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83DE5E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Integer overflow (190)</w:t>
            </w:r>
          </w:p>
        </w:tc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F6907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54.4%</w:t>
            </w:r>
          </w:p>
        </w:tc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102627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~10%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947D9D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44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A3A28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Moderate</w:t>
            </w:r>
          </w:p>
        </w:tc>
      </w:tr>
      <w:tr w:rsidR="007F6FE0" w14:paraId="62863C26" w14:textId="77777777">
        <w:tc>
          <w:tcPr>
            <w:tcW w:w="3200" w:type="dxa"/>
            <w:shd w:val="clear" w:color="auto" w:fill="FCE4E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314528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Out-of-bounds write (</w:t>
            </w:r>
            <w:proofErr w:type="gramStart"/>
            <w:r>
              <w:rPr>
                <w:color w:val="000000"/>
                <w:sz w:val="19"/>
                <w:szCs w:val="19"/>
              </w:rPr>
              <w:t>787)*</w:t>
            </w:r>
            <w:proofErr w:type="gramEnd"/>
          </w:p>
        </w:tc>
        <w:tc>
          <w:tcPr>
            <w:tcW w:w="1600" w:type="dxa"/>
            <w:shd w:val="clear" w:color="auto" w:fill="FCE4E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36B286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39.3%</w:t>
            </w:r>
          </w:p>
        </w:tc>
        <w:tc>
          <w:tcPr>
            <w:tcW w:w="1600" w:type="dxa"/>
            <w:shd w:val="clear" w:color="auto" w:fill="FCE4E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B91D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~24%</w:t>
            </w:r>
          </w:p>
        </w:tc>
        <w:tc>
          <w:tcPr>
            <w:tcW w:w="1400" w:type="dxa"/>
            <w:shd w:val="clear" w:color="auto" w:fill="FCE4E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7237F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11</w:t>
            </w:r>
          </w:p>
        </w:tc>
        <w:tc>
          <w:tcPr>
            <w:tcW w:w="1560" w:type="dxa"/>
            <w:shd w:val="clear" w:color="auto" w:fill="FCE4E4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A9AE08" w14:textId="77777777" w:rsidR="007F6FE0" w:rsidRDefault="00D13A10" w:rsidP="009A13F1">
            <w:pPr>
              <w:bidi w:val="0"/>
              <w:jc w:val="center"/>
            </w:pPr>
            <w:r>
              <w:rPr>
                <w:color w:val="843C0C"/>
                <w:sz w:val="19"/>
                <w:szCs w:val="19"/>
              </w:rPr>
              <w:t>Weakest</w:t>
            </w:r>
          </w:p>
        </w:tc>
      </w:tr>
    </w:tbl>
    <w:p w14:paraId="52BE7670" w14:textId="77777777" w:rsidR="007F6FE0" w:rsidRDefault="00D13A10" w:rsidP="009A13F1">
      <w:pPr>
        <w:bidi w:val="0"/>
        <w:spacing w:after="120"/>
      </w:pPr>
      <w:r>
        <w:rPr>
          <w:sz w:val="18"/>
          <w:szCs w:val="18"/>
        </w:rPr>
        <w:lastRenderedPageBreak/>
        <w:t>*</w:t>
      </w:r>
      <w:r>
        <w:rPr>
          <w:i/>
          <w:iCs/>
          <w:sz w:val="18"/>
          <w:szCs w:val="18"/>
        </w:rPr>
        <w:t xml:space="preserve"> CWE-787 counts a detection as either an out-of-bounds-write finding (CWE-787) or an integer-overflow finding on the size expression (CWE-190) — a legitimate taxonomy overlap. Full-suite figures including inter-procedural variants: CWE-190 = 36.6%, CWE-416 = 88%.</w:t>
      </w:r>
    </w:p>
    <w:p w14:paraId="6FD29175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2.3 Head-to-head vs Bandit (open-source Python SAST)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60"/>
        <w:gridCol w:w="1450"/>
        <w:gridCol w:w="1450"/>
        <w:gridCol w:w="1450"/>
        <w:gridCol w:w="1450"/>
      </w:tblGrid>
      <w:tr w:rsidR="007F6FE0" w14:paraId="13D6A295" w14:textId="77777777">
        <w:trPr>
          <w:tblHeader/>
        </w:trPr>
        <w:tc>
          <w:tcPr>
            <w:tcW w:w="35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32F7C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Test set</w:t>
            </w:r>
          </w:p>
        </w:tc>
        <w:tc>
          <w:tcPr>
            <w:tcW w:w="14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9D28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Ours Det.</w:t>
            </w:r>
          </w:p>
        </w:tc>
        <w:tc>
          <w:tcPr>
            <w:tcW w:w="14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70424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Ours FP</w:t>
            </w:r>
          </w:p>
        </w:tc>
        <w:tc>
          <w:tcPr>
            <w:tcW w:w="14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68F40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Bandit Det.</w:t>
            </w:r>
          </w:p>
        </w:tc>
        <w:tc>
          <w:tcPr>
            <w:tcW w:w="145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27099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Bandit FP</w:t>
            </w:r>
          </w:p>
        </w:tc>
      </w:tr>
      <w:tr w:rsidR="007F6FE0" w14:paraId="2EFF0DAB" w14:textId="77777777">
        <w:tc>
          <w:tcPr>
            <w:tcW w:w="356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7F17E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18 Python files</w:t>
            </w:r>
          </w:p>
        </w:tc>
        <w:tc>
          <w:tcPr>
            <w:tcW w:w="14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682D91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4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A8CF65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0%</w:t>
            </w:r>
          </w:p>
        </w:tc>
        <w:tc>
          <w:tcPr>
            <w:tcW w:w="14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29269D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83%</w:t>
            </w:r>
          </w:p>
        </w:tc>
        <w:tc>
          <w:tcPr>
            <w:tcW w:w="145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BB3578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17%</w:t>
            </w:r>
          </w:p>
        </w:tc>
      </w:tr>
      <w:tr w:rsidR="007F6FE0" w14:paraId="60259703" w14:textId="77777777">
        <w:tc>
          <w:tcPr>
            <w:tcW w:w="3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BC2121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Independent (</w:t>
            </w:r>
            <w:proofErr w:type="spellStart"/>
            <w:r>
              <w:rPr>
                <w:color w:val="000000"/>
                <w:sz w:val="19"/>
                <w:szCs w:val="19"/>
              </w:rPr>
              <w:t>PyGoat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000000"/>
                <w:sz w:val="19"/>
                <w:szCs w:val="19"/>
              </w:rPr>
              <w:t>Vulpy</w:t>
            </w:r>
            <w:proofErr w:type="spellEnd"/>
            <w:r>
              <w:rPr>
                <w:color w:val="000000"/>
                <w:sz w:val="19"/>
                <w:szCs w:val="19"/>
              </w:rPr>
              <w:t>)</w:t>
            </w:r>
          </w:p>
        </w:tc>
        <w:tc>
          <w:tcPr>
            <w:tcW w:w="14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4FB7D2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4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4BBC0C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0%</w:t>
            </w:r>
          </w:p>
        </w:tc>
        <w:tc>
          <w:tcPr>
            <w:tcW w:w="14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79DA26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45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B2A9B7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33%</w:t>
            </w:r>
          </w:p>
        </w:tc>
      </w:tr>
    </w:tbl>
    <w:p w14:paraId="1D1F3D83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2.4 Real-world evaluation set (30 files, 11 apps/CVE repos)</w:t>
      </w:r>
    </w:p>
    <w:p w14:paraId="528781E3" w14:textId="77777777" w:rsidR="007F6FE0" w:rsidRDefault="00D13A10" w:rsidP="009A13F1">
      <w:pPr>
        <w:bidi w:val="0"/>
        <w:spacing w:after="120"/>
      </w:pPr>
      <w:r>
        <w:t xml:space="preserve">Curated from intentionally-vulnerable applications (DSVW, </w:t>
      </w:r>
      <w:proofErr w:type="spellStart"/>
      <w:r>
        <w:t>WebGoat</w:t>
      </w:r>
      <w:proofErr w:type="spellEnd"/>
      <w:r>
        <w:t xml:space="preserve">, </w:t>
      </w:r>
      <w:proofErr w:type="spellStart"/>
      <w:r>
        <w:t>PyGoat</w:t>
      </w:r>
      <w:proofErr w:type="spellEnd"/>
      <w:r>
        <w:t xml:space="preserve">, </w:t>
      </w:r>
      <w:proofErr w:type="spellStart"/>
      <w:r>
        <w:t>Vulpy</w:t>
      </w:r>
      <w:proofErr w:type="spellEnd"/>
      <w:r>
        <w:t>, hackable, flask-</w:t>
      </w:r>
      <w:proofErr w:type="spellStart"/>
      <w:r>
        <w:t>sqli</w:t>
      </w:r>
      <w:proofErr w:type="spellEnd"/>
      <w:r>
        <w:t>, Vulnerable-API, Django-</w:t>
      </w:r>
      <w:proofErr w:type="spellStart"/>
      <w:r>
        <w:t>sqli</w:t>
      </w:r>
      <w:proofErr w:type="spellEnd"/>
      <w:r>
        <w:t xml:space="preserve">) and real CVE code (CMU CERT, moonlight-common-c CVEs, </w:t>
      </w:r>
      <w:proofErr w:type="spellStart"/>
      <w:r>
        <w:t>seeve</w:t>
      </w:r>
      <w:proofErr w:type="spellEnd"/>
      <w:r>
        <w:t>). Ground truth established by manual code review.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0"/>
        <w:gridCol w:w="1600"/>
        <w:gridCol w:w="1400"/>
        <w:gridCol w:w="2400"/>
      </w:tblGrid>
      <w:tr w:rsidR="007F6FE0" w14:paraId="324D7AF9" w14:textId="77777777">
        <w:trPr>
          <w:tblHeader/>
        </w:trPr>
        <w:tc>
          <w:tcPr>
            <w:tcW w:w="39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EBD41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  <w:tc>
          <w:tcPr>
            <w:tcW w:w="1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F2DA6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1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6F446" w14:textId="77777777" w:rsidR="007F6FE0" w:rsidRDefault="007F6FE0" w:rsidP="009A13F1">
            <w:pPr>
              <w:bidi w:val="0"/>
              <w:jc w:val="center"/>
            </w:pPr>
          </w:p>
        </w:tc>
        <w:tc>
          <w:tcPr>
            <w:tcW w:w="24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5F965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Comment</w:t>
            </w:r>
          </w:p>
        </w:tc>
      </w:tr>
      <w:tr w:rsidR="007F6FE0" w14:paraId="2332DE20" w14:textId="77777777">
        <w:tc>
          <w:tcPr>
            <w:tcW w:w="396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36FC8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Overall detection</w:t>
            </w:r>
          </w:p>
        </w:tc>
        <w:tc>
          <w:tcPr>
            <w:tcW w:w="1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9436E1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87.5%</w:t>
            </w:r>
          </w:p>
        </w:tc>
        <w:tc>
          <w:tcPr>
            <w:tcW w:w="1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0A2CC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21/24</w:t>
            </w:r>
          </w:p>
        </w:tc>
        <w:tc>
          <w:tcPr>
            <w:tcW w:w="2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5B739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True positives</w:t>
            </w:r>
          </w:p>
        </w:tc>
      </w:tr>
      <w:tr w:rsidR="007F6FE0" w14:paraId="49BD962C" w14:textId="77777777">
        <w:tc>
          <w:tcPr>
            <w:tcW w:w="39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8031FC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Overall false-positive rate</w:t>
            </w:r>
          </w:p>
        </w:tc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A91DF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375623"/>
                <w:sz w:val="19"/>
                <w:szCs w:val="19"/>
              </w:rPr>
              <w:t>0.0%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8B05A1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0/9</w:t>
            </w:r>
          </w:p>
        </w:tc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63E7B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No false alarms</w:t>
            </w:r>
          </w:p>
        </w:tc>
      </w:tr>
      <w:tr w:rsidR="007F6FE0" w14:paraId="13229E11" w14:textId="77777777">
        <w:tc>
          <w:tcPr>
            <w:tcW w:w="396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36FA64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SQL injection (CWE-89)</w:t>
            </w:r>
          </w:p>
        </w:tc>
        <w:tc>
          <w:tcPr>
            <w:tcW w:w="16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309117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3AF31F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11/11</w:t>
            </w:r>
          </w:p>
        </w:tc>
        <w:tc>
          <w:tcPr>
            <w:tcW w:w="240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8DEF50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0% FP on safe queries</w:t>
            </w:r>
          </w:p>
        </w:tc>
      </w:tr>
      <w:tr w:rsidR="007F6FE0" w14:paraId="7C1D98A4" w14:textId="77777777">
        <w:tc>
          <w:tcPr>
            <w:tcW w:w="39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16A906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Crypto / hash / UAF / OOB</w:t>
            </w:r>
          </w:p>
        </w:tc>
        <w:tc>
          <w:tcPr>
            <w:tcW w:w="1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5F2386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28514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24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808FC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Clean</w:t>
            </w:r>
          </w:p>
        </w:tc>
      </w:tr>
    </w:tbl>
    <w:p w14:paraId="1675B767" w14:textId="77777777" w:rsidR="007F6FE0" w:rsidRDefault="00D13A10" w:rsidP="009A13F1">
      <w:pPr>
        <w:bidi w:val="0"/>
        <w:spacing w:after="120"/>
      </w:pPr>
      <w:r>
        <w:rPr>
          <w:b/>
          <w:bCs/>
          <w:sz w:val="18"/>
          <w:szCs w:val="18"/>
        </w:rPr>
        <w:t xml:space="preserve">The three misses: </w:t>
      </w:r>
      <w:r>
        <w:rPr>
          <w:i/>
          <w:iCs/>
          <w:sz w:val="18"/>
          <w:szCs w:val="18"/>
        </w:rPr>
        <w:t xml:space="preserve">two in DSVW (uses a hand-rolled request-parsing </w:t>
      </w:r>
      <w:proofErr w:type="spellStart"/>
      <w:r>
        <w:rPr>
          <w:i/>
          <w:iCs/>
          <w:sz w:val="18"/>
          <w:szCs w:val="18"/>
        </w:rPr>
        <w:t>dict</w:t>
      </w:r>
      <w:proofErr w:type="spellEnd"/>
      <w:r>
        <w:rPr>
          <w:i/>
          <w:iCs/>
          <w:sz w:val="18"/>
          <w:szCs w:val="18"/>
        </w:rPr>
        <w:t xml:space="preserve"> our taint tracker does not </w:t>
      </w:r>
      <w:proofErr w:type="spellStart"/>
      <w:r>
        <w:rPr>
          <w:i/>
          <w:iCs/>
          <w:sz w:val="18"/>
          <w:szCs w:val="18"/>
        </w:rPr>
        <w:t>recognise</w:t>
      </w:r>
      <w:proofErr w:type="spellEnd"/>
      <w:r>
        <w:rPr>
          <w:i/>
          <w:iCs/>
          <w:sz w:val="18"/>
          <w:szCs w:val="18"/>
        </w:rPr>
        <w:t xml:space="preserve"> as a source) and one CWE-190 pattern gap. Zero false positives across all safe cases, including </w:t>
      </w:r>
      <w:proofErr w:type="spellStart"/>
      <w:r>
        <w:rPr>
          <w:i/>
          <w:iCs/>
          <w:sz w:val="18"/>
          <w:szCs w:val="18"/>
        </w:rPr>
        <w:t>parameterised</w:t>
      </w:r>
      <w:proofErr w:type="spellEnd"/>
      <w:r>
        <w:rPr>
          <w:i/>
          <w:iCs/>
          <w:sz w:val="18"/>
          <w:szCs w:val="18"/>
        </w:rPr>
        <w:t xml:space="preserve"> queries, SHA-256/AES, and a cross-file safe case.</w:t>
      </w:r>
    </w:p>
    <w:p w14:paraId="3D09AC95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2.5 Combined real-world suites</w:t>
      </w:r>
    </w:p>
    <w:p w14:paraId="372E9284" w14:textId="77777777" w:rsidR="007F6FE0" w:rsidRDefault="00D13A10" w:rsidP="009A13F1">
      <w:pPr>
        <w:bidi w:val="0"/>
        <w:spacing w:after="120"/>
      </w:pPr>
      <w:r>
        <w:t>Including the earlier real50 set (49 files, all 10 CWEs): 96.9% detection, 0% FP. Across all real-world evaluation, detection is 87–97% at a consistent 0% false-positive rate.</w:t>
      </w:r>
    </w:p>
    <w:p w14:paraId="10B7A93F" w14:textId="77777777" w:rsidR="007F6FE0" w:rsidRDefault="00D13A10" w:rsidP="009A13F1">
      <w:pPr>
        <w:pStyle w:val="Heading2"/>
        <w:spacing w:before="240" w:after="100"/>
      </w:pPr>
      <w:r>
        <w:rPr>
          <w:color w:val="1F4E79"/>
        </w:rPr>
        <w:t>2.6 Fine-tuned model (approximate — earlier run)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2340"/>
        <w:gridCol w:w="2340"/>
      </w:tblGrid>
      <w:tr w:rsidR="007F6FE0" w14:paraId="31EC81C1" w14:textId="77777777">
        <w:trPr>
          <w:tblHeader/>
        </w:trPr>
        <w:tc>
          <w:tcPr>
            <w:tcW w:w="468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A0D0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34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A3DFB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Value</w:t>
            </w:r>
          </w:p>
        </w:tc>
        <w:tc>
          <w:tcPr>
            <w:tcW w:w="234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887BF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Note</w:t>
            </w:r>
          </w:p>
        </w:tc>
      </w:tr>
      <w:tr w:rsidR="007F6FE0" w14:paraId="4523D4DF" w14:textId="77777777">
        <w:tc>
          <w:tcPr>
            <w:tcW w:w="468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3A9B02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CWE identification</w:t>
            </w:r>
          </w:p>
        </w:tc>
        <w:tc>
          <w:tcPr>
            <w:tcW w:w="234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598A06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~91%</w:t>
            </w:r>
          </w:p>
        </w:tc>
        <w:tc>
          <w:tcPr>
            <w:tcW w:w="2340" w:type="dxa"/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10CA0A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Correct CWE named</w:t>
            </w:r>
          </w:p>
        </w:tc>
      </w:tr>
      <w:tr w:rsidR="007F6FE0" w14:paraId="3D8B3D93" w14:textId="77777777">
        <w:tc>
          <w:tcPr>
            <w:tcW w:w="468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A56CA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Fix score</w:t>
            </w:r>
          </w:p>
        </w:tc>
        <w:tc>
          <w:tcPr>
            <w:tcW w:w="2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D04CD0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~67%</w:t>
            </w:r>
          </w:p>
        </w:tc>
        <w:tc>
          <w:tcPr>
            <w:tcW w:w="234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FA1B4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Fix removes the finding</w:t>
            </w:r>
          </w:p>
        </w:tc>
      </w:tr>
    </w:tbl>
    <w:p w14:paraId="21C5F94F" w14:textId="77777777" w:rsidR="007F6FE0" w:rsidRDefault="00D13A10" w:rsidP="009A13F1">
      <w:pPr>
        <w:pStyle w:val="Heading1"/>
        <w:spacing w:before="240" w:after="100"/>
      </w:pPr>
      <w:r>
        <w:rPr>
          <w:color w:val="1F4E79"/>
        </w:rPr>
        <w:t>3. Comparison with Published SAST Benchmarks</w:t>
      </w:r>
    </w:p>
    <w:p w14:paraId="42FA1B6C" w14:textId="77777777" w:rsidR="007F6FE0" w:rsidRDefault="00D13A10" w:rsidP="009A13F1">
      <w:pPr>
        <w:bidi w:val="0"/>
        <w:spacing w:after="120"/>
      </w:pPr>
      <w:r>
        <w:t>Buffer overflow / out-of-bounds write (CWE-787) is documented as one of the hardest weakness classes for all static analysis tools. Published evaluations of commercial and open-source SAST tools report the following:</w:t>
      </w:r>
    </w:p>
    <w:tbl>
      <w:tblPr>
        <w:tblW w:w="9360" w:type="dxa"/>
        <w:tblBorders>
          <w:top w:val="single" w:sz="2" w:space="0" w:color="BFBFBF"/>
          <w:left w:val="single" w:sz="2" w:space="0" w:color="BFBFBF"/>
          <w:bottom w:val="single" w:sz="2" w:space="0" w:color="BFBFBF"/>
          <w:right w:val="single" w:sz="2" w:space="0" w:color="BFBFBF"/>
          <w:insideH w:val="single" w:sz="1" w:space="0" w:color="D9D9D9"/>
          <w:insideV w:val="single" w:sz="1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100"/>
        <w:gridCol w:w="2100"/>
        <w:gridCol w:w="1560"/>
      </w:tblGrid>
      <w:tr w:rsidR="007F6FE0" w14:paraId="7260C564" w14:textId="77777777">
        <w:trPr>
          <w:tblHeader/>
        </w:trPr>
        <w:tc>
          <w:tcPr>
            <w:tcW w:w="36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AE244" w14:textId="77777777" w:rsidR="007F6FE0" w:rsidRDefault="00D13A10" w:rsidP="009A13F1">
            <w:pPr>
              <w:bidi w:val="0"/>
            </w:pPr>
            <w:r>
              <w:rPr>
                <w:b/>
                <w:bCs/>
                <w:color w:val="FFFFFF"/>
                <w:sz w:val="19"/>
                <w:szCs w:val="19"/>
              </w:rPr>
              <w:t>Tool / study</w:t>
            </w:r>
          </w:p>
        </w:tc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710FD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Recall (detection)</w:t>
            </w:r>
          </w:p>
        </w:tc>
        <w:tc>
          <w:tcPr>
            <w:tcW w:w="210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37BEC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Precision</w:t>
            </w:r>
          </w:p>
        </w:tc>
        <w:tc>
          <w:tcPr>
            <w:tcW w:w="1560" w:type="dxa"/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5E78C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7F6FE0" w14:paraId="11535F05" w14:textId="77777777">
        <w:tc>
          <w:tcPr>
            <w:tcW w:w="3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17DE0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Clang Static Analyzer (C)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6A74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9%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0B6140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87%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E98A9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SAST-for-C eval</w:t>
            </w:r>
          </w:p>
        </w:tc>
      </w:tr>
      <w:tr w:rsidR="007F6FE0" w14:paraId="378BEC31" w14:textId="77777777">
        <w:tc>
          <w:tcPr>
            <w:tcW w:w="3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70EB34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CBMC (C, formal)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FC000E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12%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9B14F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100%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7F452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SAST-for-C eval</w:t>
            </w:r>
          </w:p>
        </w:tc>
      </w:tr>
      <w:tr w:rsidR="007F6FE0" w14:paraId="58E0EF5F" w14:textId="77777777">
        <w:tc>
          <w:tcPr>
            <w:tcW w:w="3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F0DF2F" w14:textId="77777777" w:rsidR="007F6FE0" w:rsidRDefault="00D13A10" w:rsidP="009A13F1">
            <w:pPr>
              <w:bidi w:val="0"/>
            </w:pPr>
            <w:proofErr w:type="spellStart"/>
            <w:r>
              <w:rPr>
                <w:color w:val="000000"/>
                <w:sz w:val="19"/>
                <w:szCs w:val="19"/>
              </w:rPr>
              <w:t>AdLint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/ Frama-C (C)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AEB735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&gt;50%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761BF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—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D88AB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SAST-for-C eval</w:t>
            </w:r>
          </w:p>
        </w:tc>
      </w:tr>
      <w:tr w:rsidR="007F6FE0" w14:paraId="763295FF" w14:textId="77777777">
        <w:tc>
          <w:tcPr>
            <w:tcW w:w="3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4BF4E4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5 commercial SAST (Juliet)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FE9F74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up to 67%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37E9B3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up to 45%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D5996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Comm. tool study</w:t>
            </w:r>
          </w:p>
        </w:tc>
      </w:tr>
      <w:tr w:rsidR="007F6FE0" w14:paraId="3453B6E9" w14:textId="77777777">
        <w:tc>
          <w:tcPr>
            <w:tcW w:w="36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B154EC" w14:textId="77777777" w:rsidR="007F6FE0" w:rsidRDefault="00D13A10" w:rsidP="009A13F1">
            <w:pPr>
              <w:bidi w:val="0"/>
            </w:pPr>
            <w:r>
              <w:rPr>
                <w:color w:val="000000"/>
                <w:sz w:val="19"/>
                <w:szCs w:val="19"/>
              </w:rPr>
              <w:t>9 SAST tools (average)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1389D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52.7%</w:t>
            </w:r>
          </w:p>
        </w:tc>
        <w:tc>
          <w:tcPr>
            <w:tcW w:w="210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9B1DF2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70%</w:t>
            </w:r>
          </w:p>
        </w:tc>
        <w:tc>
          <w:tcPr>
            <w:tcW w:w="1560" w:type="dx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D8B2E5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Multi-tool study</w:t>
            </w:r>
          </w:p>
        </w:tc>
      </w:tr>
      <w:tr w:rsidR="007F6FE0" w14:paraId="0244FD07" w14:textId="77777777">
        <w:tc>
          <w:tcPr>
            <w:tcW w:w="36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9CD992" w14:textId="77777777" w:rsidR="007F6FE0" w:rsidRDefault="00D13A10" w:rsidP="009A13F1">
            <w:pPr>
              <w:bidi w:val="0"/>
            </w:pPr>
            <w:proofErr w:type="spellStart"/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SecureAssist</w:t>
            </w:r>
            <w:proofErr w:type="spellEnd"/>
            <w:r>
              <w:rPr>
                <w:b/>
                <w:bCs/>
                <w:color w:val="000000"/>
                <w:sz w:val="19"/>
                <w:szCs w:val="19"/>
              </w:rPr>
              <w:t xml:space="preserve"> (Juliet CWE-787, intra-proc)</w:t>
            </w:r>
          </w:p>
        </w:tc>
        <w:tc>
          <w:tcPr>
            <w:tcW w:w="21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53701C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39%</w:t>
            </w:r>
          </w:p>
        </w:tc>
        <w:tc>
          <w:tcPr>
            <w:tcW w:w="210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0B33F" w14:textId="77777777" w:rsidR="007F6FE0" w:rsidRDefault="00D13A10" w:rsidP="009A13F1">
            <w:pPr>
              <w:bidi w:val="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~76%</w:t>
            </w:r>
          </w:p>
        </w:tc>
        <w:tc>
          <w:tcPr>
            <w:tcW w:w="1560" w:type="dxa"/>
            <w:shd w:val="clear" w:color="auto" w:fill="E2EFD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E93FE5" w14:textId="77777777" w:rsidR="007F6FE0" w:rsidRDefault="00D13A10" w:rsidP="009A13F1">
            <w:pPr>
              <w:bidi w:val="0"/>
              <w:jc w:val="center"/>
            </w:pPr>
            <w:r>
              <w:rPr>
                <w:color w:val="000000"/>
                <w:sz w:val="19"/>
                <w:szCs w:val="19"/>
              </w:rPr>
              <w:t>This work</w:t>
            </w:r>
          </w:p>
        </w:tc>
      </w:tr>
    </w:tbl>
    <w:p w14:paraId="2BAB97F0" w14:textId="77777777" w:rsidR="007F6FE0" w:rsidRDefault="00D13A10" w:rsidP="009A13F1">
      <w:pPr>
        <w:bidi w:val="0"/>
        <w:spacing w:after="120"/>
      </w:pPr>
      <w:r>
        <w:rPr>
          <w:b/>
          <w:bCs/>
        </w:rPr>
        <w:t xml:space="preserve">Interpretation. </w:t>
      </w:r>
      <w:r>
        <w:t>Our CWE-787 detection (~39%) — the category we consider our weakest — sits within the normal range for the field: above the high-precision “proof” tools (Clang 9%, CBMC 12%) and comparable to mainstream scanners. Detection rates for this CWE are low across the entire industry because out-of-bounds writes require tracking buffer sizes, pointer arithmetic, and cross-procedural data flow — analysis that lightweight tools do not perform.</w:t>
      </w:r>
    </w:p>
    <w:p w14:paraId="70F093F9" w14:textId="77777777" w:rsidR="007F6FE0" w:rsidRDefault="00D13A10" w:rsidP="009A13F1">
      <w:pPr>
        <w:bidi w:val="0"/>
        <w:spacing w:after="120"/>
      </w:pPr>
      <w:r>
        <w:t>The precision/recall trade-off in the literature mirrors our own results exactly: formal/proof tools achieve near-100% precision but detect little (9–12%), while higher-recall tools accept more false positives. Our analyzer is deliberately tuned toward recall (aggressive taint) — strong detection with more noise on adversarial cases — which is the standard trade-off documented across SAST research.</w:t>
      </w:r>
    </w:p>
    <w:p w14:paraId="5869BABB" w14:textId="77777777" w:rsidR="007F6FE0" w:rsidRDefault="00D13A10" w:rsidP="009A13F1">
      <w:pPr>
        <w:bidi w:val="0"/>
        <w:spacing w:after="120"/>
      </w:pPr>
      <w:r>
        <w:rPr>
          <w:b/>
          <w:bCs/>
        </w:rPr>
        <w:t xml:space="preserve">Relevance to our hybrid design. </w:t>
      </w:r>
      <w:r>
        <w:t xml:space="preserve">The CASTLE benchmark (2025), which evaluates 13 static analyzers, 10 LLMs, and 2 formal-verification tools on CWE detection, reports two findings that directly validate our architecture: (1) static analyzers suffer from high false-positive rates, and (2) LLMs perform very well on small code snippets but degrade and hallucinate as code grows. This is precisely why </w:t>
      </w:r>
      <w:proofErr w:type="spellStart"/>
      <w:r>
        <w:t>SecureAssist</w:t>
      </w:r>
      <w:proofErr w:type="spellEnd"/>
      <w:r>
        <w:t xml:space="preserve"> pairs a fast static analyzer (for </w:t>
      </w:r>
      <w:proofErr w:type="spellStart"/>
      <w:r>
        <w:t>localisation</w:t>
      </w:r>
      <w:proofErr w:type="spellEnd"/>
      <w:r>
        <w:t>) with a fine-tuned LLM operating on small, focused snippets (for explanation and fixes).</w:t>
      </w:r>
    </w:p>
    <w:p w14:paraId="6B2D7AC3" w14:textId="77777777" w:rsidR="007F6FE0" w:rsidRDefault="00D13A10" w:rsidP="009A13F1">
      <w:pPr>
        <w:pStyle w:val="Heading1"/>
        <w:spacing w:before="240" w:after="100"/>
      </w:pPr>
      <w:r>
        <w:rPr>
          <w:color w:val="1F4E79"/>
        </w:rPr>
        <w:t>4. Where We Stand</w:t>
      </w:r>
    </w:p>
    <w:p w14:paraId="4ACB7B15" w14:textId="77777777" w:rsidR="007F6FE0" w:rsidRDefault="00D13A10" w:rsidP="009A13F1">
      <w:pPr>
        <w:bidi w:val="0"/>
        <w:spacing w:after="120"/>
      </w:pPr>
      <w:r>
        <w:t>Our results fall into three tiers that track detection difficulty:</w:t>
      </w:r>
    </w:p>
    <w:p w14:paraId="7B3DB25C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Pattern-presence detection (weak crypto, weak hash) — excellent: 100 / 69 on OWASP with 0% false positives. The safe cases (AES, SHA-256) are visibly different from the unsafe ones (DES, MD5).</w:t>
      </w:r>
    </w:p>
    <w:p w14:paraId="08F07C8B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Taint-flow detection (SQL injection, command injection, path traversal, use-after-free) — strong detection (63–95%) with 0% false positives on real code. Use-after-free reaches 95% on Juliet.</w:t>
      </w:r>
    </w:p>
    <w:p w14:paraId="0CE6A38F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Bounds/arithmetic detection (integer overflow, buffer overflow) — weaker (39–54%), in line with the whole SAST field, because these require heavyweight bounds analysis outside a lightweight taint model.</w:t>
      </w:r>
    </w:p>
    <w:p w14:paraId="071D6E3C" w14:textId="498452C5" w:rsidR="007F6FE0" w:rsidRDefault="00D13A10" w:rsidP="009A13F1">
      <w:pPr>
        <w:bidi w:val="0"/>
        <w:spacing w:after="120"/>
      </w:pPr>
      <w:r>
        <w:rPr>
          <w:b/>
          <w:bCs/>
        </w:rPr>
        <w:t>The defining result: on</w:t>
      </w:r>
      <w:r w:rsidR="00391909">
        <w:rPr>
          <w:b/>
          <w:bCs/>
        </w:rPr>
        <w:t xml:space="preserve"> most</w:t>
      </w:r>
      <w:r>
        <w:rPr>
          <w:b/>
          <w:bCs/>
        </w:rPr>
        <w:t xml:space="preserve"> real-world code</w:t>
      </w:r>
      <w:r w:rsidR="002152FB">
        <w:rPr>
          <w:b/>
          <w:bCs/>
        </w:rPr>
        <w:t xml:space="preserve"> we </w:t>
      </w:r>
      <w:proofErr w:type="gramStart"/>
      <w:r w:rsidR="002152FB">
        <w:rPr>
          <w:b/>
          <w:bCs/>
        </w:rPr>
        <w:t>tested,</w:t>
      </w:r>
      <w:proofErr w:type="gramEnd"/>
      <w:r>
        <w:rPr>
          <w:b/>
          <w:bCs/>
        </w:rPr>
        <w:t xml:space="preserve"> our false-positive rate is 0%. </w:t>
      </w:r>
      <w:r>
        <w:t>Every false positive we produce is on synthetic adversarial benchmark cases engineered specifically to defeat lightweight tools — code patterns that do not appear in software developers actually write.</w:t>
      </w:r>
    </w:p>
    <w:p w14:paraId="0F1A99A4" w14:textId="77777777" w:rsidR="007F6FE0" w:rsidRDefault="00D13A10" w:rsidP="009A13F1">
      <w:pPr>
        <w:pStyle w:val="Heading1"/>
        <w:spacing w:before="240" w:after="100"/>
      </w:pPr>
      <w:r>
        <w:rPr>
          <w:color w:val="1F4E79"/>
        </w:rPr>
        <w:t>5. Known Limitations</w:t>
      </w:r>
    </w:p>
    <w:p w14:paraId="0A84D1A4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Single-file / intra-procedural — taint is not followed across function or file boundaries.</w:t>
      </w:r>
    </w:p>
    <w:p w14:paraId="246B48BC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Field-insensitive collections — a whole collection is treated as tainted once any tainted value enters it.</w:t>
      </w:r>
    </w:p>
    <w:p w14:paraId="42D22B10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Path-insensitive — branch feasibility and constant propagation are not evaluated.</w:t>
      </w:r>
    </w:p>
    <w:p w14:paraId="13CAEBB1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No buffer-size analysis — size-mismatch overflows (</w:t>
      </w:r>
      <w:proofErr w:type="gramStart"/>
      <w:r>
        <w:t>e.g.</w:t>
      </w:r>
      <w:proofErr w:type="gramEnd"/>
      <w:r>
        <w:t xml:space="preserve"> </w:t>
      </w:r>
      <w:proofErr w:type="spellStart"/>
      <w:r>
        <w:t>memcpy</w:t>
      </w:r>
      <w:proofErr w:type="spellEnd"/>
      <w:r>
        <w:t xml:space="preserve"> with an incorrect </w:t>
      </w:r>
      <w:proofErr w:type="spellStart"/>
      <w:r>
        <w:t>sizeof</w:t>
      </w:r>
      <w:proofErr w:type="spellEnd"/>
      <w:r>
        <w:t>) are not detected.</w:t>
      </w:r>
    </w:p>
    <w:p w14:paraId="6AC0A7D6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Custom input sources — user input parsed outside the framework request objects (</w:t>
      </w:r>
      <w:proofErr w:type="gramStart"/>
      <w:r>
        <w:t>e.g.</w:t>
      </w:r>
      <w:proofErr w:type="gramEnd"/>
      <w:r>
        <w:t xml:space="preserve"> a hand-rolled query </w:t>
      </w:r>
      <w:proofErr w:type="spellStart"/>
      <w:r>
        <w:t>dict</w:t>
      </w:r>
      <w:proofErr w:type="spellEnd"/>
      <w:r>
        <w:t xml:space="preserve">) is not </w:t>
      </w:r>
      <w:proofErr w:type="spellStart"/>
      <w:r>
        <w:t>recognised</w:t>
      </w:r>
      <w:proofErr w:type="spellEnd"/>
      <w:r>
        <w:t xml:space="preserve"> as a taint source.</w:t>
      </w:r>
    </w:p>
    <w:p w14:paraId="7BF3A1F8" w14:textId="77777777" w:rsidR="007F6FE0" w:rsidRDefault="00D13A10" w:rsidP="009A13F1">
      <w:pPr>
        <w:bidi w:val="0"/>
        <w:spacing w:after="120"/>
      </w:pPr>
      <w:r>
        <w:t>These are the standard trade-offs of a fast, lightweight analyzer; the deep flow/bounds analysis that would remove them (</w:t>
      </w:r>
      <w:proofErr w:type="spellStart"/>
      <w:r>
        <w:t>CodeQL</w:t>
      </w:r>
      <w:proofErr w:type="spellEnd"/>
      <w:r>
        <w:t>/Coverity-class) represents years of dedicated engineering.</w:t>
      </w:r>
    </w:p>
    <w:p w14:paraId="28F2C330" w14:textId="77777777" w:rsidR="007305C1" w:rsidRDefault="007305C1" w:rsidP="009A13F1">
      <w:pPr>
        <w:pStyle w:val="Heading1"/>
        <w:spacing w:before="240" w:after="100"/>
        <w:rPr>
          <w:color w:val="1F4E79"/>
        </w:rPr>
      </w:pPr>
    </w:p>
    <w:p w14:paraId="4C999025" w14:textId="69E2480B" w:rsidR="007F6FE0" w:rsidRDefault="00D13A10" w:rsidP="009A13F1">
      <w:pPr>
        <w:pStyle w:val="Heading1"/>
        <w:spacing w:before="240" w:after="100"/>
      </w:pPr>
      <w:r>
        <w:rPr>
          <w:color w:val="1F4E79"/>
        </w:rPr>
        <w:lastRenderedPageBreak/>
        <w:t>6. Sources</w:t>
      </w:r>
    </w:p>
    <w:p w14:paraId="3A3BA865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CASTLE: Benchmarking Dataset for Static Code Analyzers and LLMs towards CWE Detection — arXiv:2503.09433 (2025).</w:t>
      </w:r>
    </w:p>
    <w:p w14:paraId="1DB7F313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Evaluation of Open-Source Static Analysis Security Testing (SAST) Tools for C — ResearchGate 338955650 (Clang/CBMC/</w:t>
      </w:r>
      <w:proofErr w:type="spellStart"/>
      <w:r>
        <w:t>AdLint</w:t>
      </w:r>
      <w:proofErr w:type="spellEnd"/>
      <w:r>
        <w:t>/Frama-C recall &amp; precision figures).</w:t>
      </w:r>
    </w:p>
    <w:p w14:paraId="34F4E536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NIST SATE V — Ten Years of Static Analysis Tool Expositions, NIST SP 500-326.</w:t>
      </w:r>
    </w:p>
    <w:p w14:paraId="320A2322" w14:textId="77777777" w:rsidR="007F6FE0" w:rsidRDefault="00D13A10" w:rsidP="009A13F1">
      <w:pPr>
        <w:pStyle w:val="ListParagraph"/>
        <w:numPr>
          <w:ilvl w:val="0"/>
          <w:numId w:val="1"/>
        </w:numPr>
        <w:spacing w:after="60"/>
      </w:pPr>
      <w:r>
        <w:t>On the adoption of static analysis for software security assessment — Computers &amp; Security (ScienceDirect, 2021).</w:t>
      </w:r>
    </w:p>
    <w:p w14:paraId="79FEB4C0" w14:textId="5854A5FC" w:rsidR="007F6FE0" w:rsidRDefault="00D13A10" w:rsidP="00D13A10">
      <w:pPr>
        <w:pStyle w:val="ListParagraph"/>
        <w:numPr>
          <w:ilvl w:val="0"/>
          <w:numId w:val="1"/>
        </w:numPr>
        <w:spacing w:after="60"/>
      </w:pPr>
      <w:r>
        <w:t>OWASP Benchmark for Java (v1.2) and NIST Juliet Test Suite for C/C++ — third-party evaluation corpora used in this work.</w:t>
      </w:r>
    </w:p>
    <w:sectPr w:rsidR="007F6FE0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470A83"/>
    <w:multiLevelType w:val="hybridMultilevel"/>
    <w:tmpl w:val="0AF005CA"/>
    <w:lvl w:ilvl="0" w:tplc="98B0193E">
      <w:start w:val="1"/>
      <w:numFmt w:val="bullet"/>
      <w:lvlText w:val="●"/>
      <w:lvlJc w:val="left"/>
      <w:pPr>
        <w:ind w:left="720" w:hanging="360"/>
      </w:pPr>
    </w:lvl>
    <w:lvl w:ilvl="1" w:tplc="AD9E116E">
      <w:start w:val="1"/>
      <w:numFmt w:val="bullet"/>
      <w:lvlText w:val="○"/>
      <w:lvlJc w:val="left"/>
      <w:pPr>
        <w:ind w:left="1440" w:hanging="360"/>
      </w:pPr>
    </w:lvl>
    <w:lvl w:ilvl="2" w:tplc="F5BE0142">
      <w:start w:val="1"/>
      <w:numFmt w:val="bullet"/>
      <w:lvlText w:val="■"/>
      <w:lvlJc w:val="left"/>
      <w:pPr>
        <w:ind w:left="2160" w:hanging="360"/>
      </w:pPr>
    </w:lvl>
    <w:lvl w:ilvl="3" w:tplc="7E9EF4D6">
      <w:start w:val="1"/>
      <w:numFmt w:val="bullet"/>
      <w:lvlText w:val="●"/>
      <w:lvlJc w:val="left"/>
      <w:pPr>
        <w:ind w:left="2880" w:hanging="360"/>
      </w:pPr>
    </w:lvl>
    <w:lvl w:ilvl="4" w:tplc="786E8B0E">
      <w:start w:val="1"/>
      <w:numFmt w:val="bullet"/>
      <w:lvlText w:val="○"/>
      <w:lvlJc w:val="left"/>
      <w:pPr>
        <w:ind w:left="3600" w:hanging="360"/>
      </w:pPr>
    </w:lvl>
    <w:lvl w:ilvl="5" w:tplc="1A30F43E">
      <w:start w:val="1"/>
      <w:numFmt w:val="bullet"/>
      <w:lvlText w:val="■"/>
      <w:lvlJc w:val="left"/>
      <w:pPr>
        <w:ind w:left="4320" w:hanging="360"/>
      </w:pPr>
    </w:lvl>
    <w:lvl w:ilvl="6" w:tplc="7D34B06E">
      <w:start w:val="1"/>
      <w:numFmt w:val="bullet"/>
      <w:lvlText w:val="●"/>
      <w:lvlJc w:val="left"/>
      <w:pPr>
        <w:ind w:left="5040" w:hanging="360"/>
      </w:pPr>
    </w:lvl>
    <w:lvl w:ilvl="7" w:tplc="F404F59E">
      <w:start w:val="1"/>
      <w:numFmt w:val="bullet"/>
      <w:lvlText w:val="●"/>
      <w:lvlJc w:val="left"/>
      <w:pPr>
        <w:ind w:left="5760" w:hanging="360"/>
      </w:pPr>
    </w:lvl>
    <w:lvl w:ilvl="8" w:tplc="3A82EE2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6FE0"/>
    <w:rsid w:val="002152FB"/>
    <w:rsid w:val="00324DE5"/>
    <w:rsid w:val="00391909"/>
    <w:rsid w:val="007305C1"/>
    <w:rsid w:val="007F6FE0"/>
    <w:rsid w:val="009A13F1"/>
    <w:rsid w:val="00D13A10"/>
    <w:rsid w:val="00DB1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F159D"/>
  <w15:docId w15:val="{BD35310A-BBC1-42FF-940C-EAC3C693F7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1373</Words>
  <Characters>6869</Characters>
  <Application>Microsoft Office Word</Application>
  <DocSecurity>0</DocSecurity>
  <Lines>57</Lines>
  <Paragraphs>16</Paragraphs>
  <ScaleCrop>false</ScaleCrop>
  <Company/>
  <LinksUpToDate>false</LinksUpToDate>
  <CharactersWithSpaces>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Rozhansky Denis</cp:lastModifiedBy>
  <cp:revision>2</cp:revision>
  <dcterms:created xsi:type="dcterms:W3CDTF">2026-08-04T08:41:00Z</dcterms:created>
  <dcterms:modified xsi:type="dcterms:W3CDTF">2026-08-04T08:41:00Z</dcterms:modified>
</cp:coreProperties>
</file>