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sz w:val="28"/>
        </w:rPr>
        <w:t>SERVICIO NACIONAL DE APRENDIZAJE – SENA</w:t>
      </w:r>
    </w:p>
    <w:p>
      <w:pPr>
        <w:spacing w:after="560"/>
        <w:jc w:val="center"/>
      </w:pPr>
      <w:r>
        <w:rPr>
          <w:rFonts w:ascii="Arial" w:hAnsi="Arial"/>
          <w:b/>
          <w:sz w:val="24"/>
        </w:rPr>
        <w:t>CENTRO DE LA INDUSTRIA, LA EMPRESA Y LOS SERVICIOS (CIES)</w:t>
        <w:br/>
        <w:t>REGIONAL HUILA</w:t>
      </w:r>
    </w:p>
    <w:p>
      <w:pPr>
        <w:spacing w:after="600"/>
        <w:jc w:val="center"/>
      </w:pPr>
      <w:r>
        <w:rPr>
          <w:rFonts w:ascii="Arial" w:hAnsi="Arial"/>
          <w:b/>
          <w:sz w:val="28"/>
        </w:rPr>
        <w:t>EVIDENCIA 1</w:t>
        <w:br/>
        <w:t>CUADRO COMPARATIVO DE EQUIPOS TIC, PERIFÉRICOS, TECNOLOGÍAS DE ALMACENAMIENTO, SISTEMAS OPERATIVOS Y SERVICIOS DE INTERNET</w:t>
      </w:r>
    </w:p>
    <w:p>
      <w:pPr>
        <w:spacing w:after="120" w:line="312" w:lineRule="auto"/>
        <w:jc w:val="left"/>
      </w:pPr>
    </w:p>
    <w:p>
      <w:pPr>
        <w:spacing w:after="60" w:before="0" w:line="288" w:lineRule="auto"/>
        <w:jc w:val="left"/>
      </w:pPr>
      <w:r>
        <w:rPr>
          <w:rFonts w:ascii="Arial" w:hAnsi="Arial"/>
          <w:b/>
          <w:sz w:val="22"/>
        </w:rPr>
        <w:t xml:space="preserve">Programa de Formación: </w:t>
      </w:r>
      <w:r>
        <w:rPr>
          <w:rFonts w:ascii="Arial" w:hAnsi="Arial"/>
          <w:sz w:val="22"/>
        </w:rPr>
        <w:t>Tecnólogo en Análisis y Desarrollo de Software (ADSO)</w:t>
      </w:r>
    </w:p>
    <w:p>
      <w:pPr>
        <w:spacing w:after="60" w:before="0" w:line="288" w:lineRule="auto"/>
        <w:jc w:val="left"/>
      </w:pPr>
      <w:r>
        <w:rPr>
          <w:rFonts w:ascii="Arial" w:hAnsi="Arial"/>
          <w:b/>
          <w:sz w:val="22"/>
        </w:rPr>
        <w:t xml:space="preserve">Código del Programa: </w:t>
      </w:r>
      <w:r>
        <w:rPr>
          <w:rFonts w:ascii="Arial" w:hAnsi="Arial"/>
          <w:sz w:val="22"/>
        </w:rPr>
        <w:t>228118</w:t>
      </w:r>
    </w:p>
    <w:p>
      <w:pPr>
        <w:spacing w:after="60" w:before="0" w:line="288" w:lineRule="auto"/>
        <w:jc w:val="left"/>
      </w:pPr>
      <w:r>
        <w:rPr>
          <w:rFonts w:ascii="Arial" w:hAnsi="Arial"/>
          <w:b/>
          <w:sz w:val="22"/>
        </w:rPr>
        <w:t xml:space="preserve">Número de Ficha: </w:t>
      </w:r>
      <w:r>
        <w:rPr>
          <w:rFonts w:ascii="Arial" w:hAnsi="Arial"/>
          <w:sz w:val="22"/>
        </w:rPr>
        <w:t>3413974</w:t>
      </w:r>
    </w:p>
    <w:p>
      <w:pPr>
        <w:spacing w:after="60" w:before="0" w:line="288" w:lineRule="auto"/>
        <w:jc w:val="left"/>
      </w:pPr>
      <w:r>
        <w:rPr>
          <w:rFonts w:ascii="Arial" w:hAnsi="Arial"/>
          <w:b/>
          <w:sz w:val="22"/>
        </w:rPr>
        <w:t xml:space="preserve">Proyecto Formativo: </w:t>
      </w:r>
      <w:r>
        <w:rPr>
          <w:rFonts w:ascii="Arial" w:hAnsi="Arial"/>
          <w:sz w:val="22"/>
        </w:rPr>
        <w:t>Desarrollo de software orientado a servicios V2</w:t>
      </w:r>
    </w:p>
    <w:p>
      <w:pPr>
        <w:spacing w:after="60" w:before="0" w:line="288" w:lineRule="auto"/>
        <w:jc w:val="left"/>
      </w:pPr>
      <w:r>
        <w:rPr>
          <w:rFonts w:ascii="Arial" w:hAnsi="Arial"/>
          <w:b/>
          <w:sz w:val="22"/>
        </w:rPr>
        <w:t xml:space="preserve">Fase del Proyecto: </w:t>
      </w:r>
      <w:r>
        <w:rPr>
          <w:rFonts w:ascii="Arial" w:hAnsi="Arial"/>
          <w:sz w:val="22"/>
        </w:rPr>
        <w:t>Análisis</w:t>
      </w:r>
    </w:p>
    <w:p>
      <w:pPr>
        <w:spacing w:after="60" w:before="0" w:line="288" w:lineRule="auto"/>
        <w:jc w:val="left"/>
      </w:pPr>
      <w:r>
        <w:rPr>
          <w:rFonts w:ascii="Arial" w:hAnsi="Arial"/>
          <w:b/>
          <w:sz w:val="22"/>
        </w:rPr>
        <w:t xml:space="preserve">Actividad de Proyecto: </w:t>
      </w:r>
      <w:r>
        <w:rPr>
          <w:rFonts w:ascii="Arial" w:hAnsi="Arial"/>
          <w:sz w:val="22"/>
        </w:rPr>
        <w:t>Determinar las especificaciones funcionales del software</w:t>
      </w:r>
    </w:p>
    <w:p>
      <w:pPr>
        <w:spacing w:after="60" w:before="0" w:line="288" w:lineRule="auto"/>
        <w:jc w:val="left"/>
      </w:pPr>
      <w:r>
        <w:rPr>
          <w:rFonts w:ascii="Arial" w:hAnsi="Arial"/>
          <w:b/>
          <w:sz w:val="22"/>
        </w:rPr>
        <w:t xml:space="preserve">Competencia: </w:t>
      </w:r>
      <w:r>
        <w:rPr>
          <w:rFonts w:ascii="Arial" w:hAnsi="Arial"/>
          <w:sz w:val="22"/>
        </w:rPr>
        <w:t>220501046 – Utilizar herramientas informáticas de acuerdo con las necesidades de manejo de información</w:t>
      </w:r>
    </w:p>
    <w:p>
      <w:pPr>
        <w:spacing w:after="60" w:before="0" w:line="288" w:lineRule="auto"/>
        <w:jc w:val="left"/>
      </w:pPr>
      <w:r>
        <w:rPr>
          <w:rFonts w:ascii="Arial" w:hAnsi="Arial"/>
          <w:b/>
          <w:sz w:val="22"/>
        </w:rPr>
        <w:t xml:space="preserve">Resultado de Aprendizaje: </w:t>
      </w:r>
      <w:r>
        <w:rPr>
          <w:rFonts w:ascii="Arial" w:hAnsi="Arial"/>
          <w:sz w:val="22"/>
        </w:rPr>
        <w:t>593154 – Alistar herramientas de Tecnologías de la Información y la Comunicación (TIC), de acuerdo con las necesidades de procesamiento de información y comunicación.</w:t>
      </w:r>
    </w:p>
    <w:p>
      <w:pPr>
        <w:spacing w:after="60" w:before="0" w:line="288" w:lineRule="auto"/>
        <w:jc w:val="left"/>
      </w:pPr>
      <w:r>
        <w:rPr>
          <w:rFonts w:ascii="Arial" w:hAnsi="Arial"/>
          <w:b/>
          <w:sz w:val="22"/>
        </w:rPr>
        <w:t xml:space="preserve">Aprendiz: </w:t>
      </w:r>
      <w:r>
        <w:rPr>
          <w:rFonts w:ascii="Arial" w:hAnsi="Arial"/>
          <w:sz w:val="22"/>
        </w:rPr>
        <w:t>[Nombre del Aprendiz]</w:t>
      </w:r>
    </w:p>
    <w:p>
      <w:pPr>
        <w:spacing w:after="60" w:before="0" w:line="288" w:lineRule="auto"/>
        <w:jc w:val="left"/>
      </w:pPr>
      <w:r>
        <w:rPr>
          <w:rFonts w:ascii="Arial" w:hAnsi="Arial"/>
          <w:b/>
          <w:sz w:val="22"/>
        </w:rPr>
        <w:t xml:space="preserve">Instructor: </w:t>
      </w:r>
      <w:r>
        <w:rPr>
          <w:rFonts w:ascii="Arial" w:hAnsi="Arial"/>
          <w:sz w:val="22"/>
        </w:rPr>
        <w:t>Jesús Ariel González Bonilla</w:t>
      </w:r>
    </w:p>
    <w:p>
      <w:pPr>
        <w:spacing w:after="60" w:before="0" w:line="288" w:lineRule="auto"/>
        <w:jc w:val="left"/>
      </w:pPr>
      <w:r>
        <w:rPr>
          <w:rFonts w:ascii="Arial" w:hAnsi="Arial"/>
          <w:b/>
          <w:sz w:val="22"/>
        </w:rPr>
        <w:t xml:space="preserve">Lugar y Fecha: </w:t>
      </w:r>
      <w:r>
        <w:rPr>
          <w:rFonts w:ascii="Arial" w:hAnsi="Arial"/>
          <w:sz w:val="22"/>
        </w:rPr>
        <w:t>Neiva, Huila – Septiembre de 2026</w:t>
      </w:r>
    </w:p>
    <w:p>
      <w:r>
        <w:br w:type="page"/>
      </w:r>
    </w:p>
    <w:p>
      <w:pPr>
        <w:keepNext/>
        <w:spacing w:before="280" w:after="120"/>
        <w:jc w:val="left"/>
      </w:pPr>
      <w:r>
        <w:rPr>
          <w:rFonts w:ascii="Arial" w:hAnsi="Arial"/>
          <w:b/>
          <w:color w:val="000000"/>
          <w:sz w:val="30"/>
        </w:rPr>
        <w:t>INTRODUCCIÓN</w:t>
      </w:r>
    </w:p>
    <w:p>
      <w:pPr>
        <w:spacing w:after="120" w:before="0" w:line="360" w:lineRule="auto"/>
        <w:jc w:val="both"/>
      </w:pPr>
      <w:r>
        <w:rPr>
          <w:rFonts w:ascii="Arial" w:hAnsi="Arial"/>
          <w:b w:val="0"/>
          <w:i w:val="0"/>
          <w:color w:val="000000"/>
          <w:sz w:val="24"/>
        </w:rPr>
        <w:t>En el marco del programa Tecnólogo en Análisis y Desarrollo de Software (ADSO) y el desarrollo de la actividad de proyecto "Determinar las especificaciones funcionales del software", correspondiente al proyecto formativo "Desarrollo de software orientado a servicios V2", el alistamiento de herramientas de Tecnologías de la Información y la Comunicación (TIC) constituye la etapa fundamental que garantiza la viabilidad operativa y técnica de los procesos de ingeniería de software. El desarrollo contemporáneo de sistemas informáticos no se limita a la escritura de código sintácticamente válido; demanda una comprensión profunda de la infraestructura computacional sobre la cual se diseñan, compilan, ejecutan, prueban y despliegan los servicios y aplicaciones de software.</w:t>
      </w:r>
    </w:p>
    <w:p>
      <w:pPr>
        <w:spacing w:after="120" w:before="0" w:line="360" w:lineRule="auto"/>
        <w:jc w:val="both"/>
      </w:pPr>
      <w:r>
        <w:rPr>
          <w:rFonts w:ascii="Arial" w:hAnsi="Arial"/>
          <w:b w:val="0"/>
          <w:i w:val="0"/>
          <w:color w:val="000000"/>
          <w:sz w:val="24"/>
        </w:rPr>
        <w:t>Un desconocimiento técnico al momento de alistar los recursos informáticos conlleva riesgos significativos, tales como cuellos de botella en el rendimiento de los entornos de desarrollo, incompatibilidades arquitectónicas entre el hardware y los compiladores, pérdida irreparable de datos por selección inadecuada de medios de almacenamiento, y latencias prohibitivas en la comunicación de servicios web distribuidos. Por lo tanto, el presente documento técnico consolida un cuadro comparativo exhaustivo y riguroso que abarca la arquitectura de computadores, la clasificación de periféricos, las tecnologías de almacenamiento persistente, los pilares fundamentales de los sistemas operativos y los medios de conectividad a Internet, proporcionando un marco de decisión sólido para el alistamiento tecnológico en el proyecto formativo.</w:t>
      </w:r>
    </w:p>
    <w:p>
      <w:pPr>
        <w:keepNext/>
        <w:spacing w:before="280" w:after="120"/>
        <w:jc w:val="left"/>
      </w:pPr>
      <w:r>
        <w:rPr>
          <w:rFonts w:ascii="Arial" w:hAnsi="Arial"/>
          <w:b/>
          <w:color w:val="000000"/>
          <w:sz w:val="30"/>
        </w:rPr>
        <w:t>1. ARQUITECTURA DEL COMPUTADOR Y COMPONENTES DEL SISTEMA</w:t>
      </w:r>
    </w:p>
    <w:p>
      <w:pPr>
        <w:spacing w:after="120" w:before="0" w:line="360" w:lineRule="auto"/>
        <w:jc w:val="both"/>
      </w:pPr>
      <w:r>
        <w:rPr>
          <w:rFonts w:ascii="Arial" w:hAnsi="Arial"/>
          <w:b w:val="0"/>
          <w:i w:val="0"/>
          <w:color w:val="000000"/>
          <w:sz w:val="24"/>
        </w:rPr>
        <w:t>La arquitectura del computador define la estructura conceptual y la organización operativa de un sistema computacional. Todo sistema de cómputo se fundamenta en la estrecha interdependencia entre el hardware (conjunto de componentes físicos, electrónicos y electromecánicos tangibles) y el software (conjunto de instrucciones lógicas, algoritmos, datos y programas intangibles). Para que el software de desarrollo pueda ejecutarse eficientemente, los componentes de hardware deben satisfacer requerimientos específicos de capacidad de cómputo, ancho de banda interno y capacidad de respuesta multihilo.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2"/>
        <w:gridCol w:w="1872"/>
        <w:gridCol w:w="1872"/>
        <w:gridCol w:w="1872"/>
        <w:gridCol w:w="1872"/>
      </w:tblGrid>
      <w:tr>
        <w:trPr>
          <w:tblHeader/>
          <w:cantSplit/>
        </w:trPr>
        <w:tc>
          <w:tcPr>
            <w:tcW w:type="dxa" w:w="187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Componente / Subsistema</w:t>
            </w:r>
          </w:p>
        </w:tc>
        <w:tc>
          <w:tcPr>
            <w:tcW w:type="dxa" w:w="216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Definición y Arquitectura</w:t>
            </w:r>
          </w:p>
        </w:tc>
        <w:tc>
          <w:tcPr>
            <w:tcW w:type="dxa" w:w="259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Características Técnicas Clave</w:t>
            </w:r>
          </w:p>
        </w:tc>
        <w:tc>
          <w:tcPr>
            <w:tcW w:type="dxa" w:w="216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Función Operativa</w:t>
            </w:r>
          </w:p>
        </w:tc>
        <w:tc>
          <w:tcPr>
            <w:tcW w:type="dxa" w:w="2736"/>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Criterio de Selección para ADSO</w:t>
            </w:r>
          </w:p>
        </w:tc>
      </w:tr>
      <w:tr>
        <w:trPr>
          <w:cantSplit/>
        </w:trPr>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CPU (Unidad Central de Procesamiento)</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Circuito integrado complejo que ejecuta las instrucciones del software. Arquitecturas dominantes: x86-64 (CISC complejo con decodificación a micro-operaciones) y ARM (RISC con conjunto de instrucciones reducido y alta eficiencia energética).</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Número de núcleos físicos (Cores) e hilos lógicos (Threads mediante SMT/Hyper-Threading).</w:t>
              <w:br/>
              <w:t>• Frecuencia base y turbo/boost (GHz).</w:t>
              <w:br/>
              <w:t>• Litografía de fabricación (nm).</w:t>
              <w:br/>
              <w:t>• Memoria Caché escalonada: L1 (ultrarrápida por núcleo), L2 (dedicada) y L3 (compartida de gran tamaño).</w:t>
              <w:br/>
              <w:t>• Instrucciones por ciclo (IPC).</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Decodifica, sincroniza y ejecuta las instrucciones de los programas a través del ciclo de instrucción (Fetch-Decode-Execute). Realiza operaciones aritméticas, lógicas y de control del sistema.</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Para desarrollo de software orientado a servicios se requiere un procesador x86-64 moderno con mínimo 6 a 8 núcleos físicos y 12 a 16 hilos. Esto permite compilar código ágilmente, ejecutar simultáneamente múltiples contenedores Docker y correr entornos de depuración pesados sin degradar la respuesta del sistema operativo.</w:t>
            </w:r>
          </w:p>
        </w:tc>
      </w:tr>
      <w:tr>
        <w:trPr>
          <w:cantSplit/>
        </w:trPr>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Memoria Principal (RAM)</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Memoria de acceso aleatorio basada en condensadores dinámicos (DRAM). Almacena temporalmente el código ejecutable y las estructuras de datos que la CPU procesa en tiempo real. Es volátil: pierde toda la información al cesar el suministro de energía.</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Tecnologías vigentes: DDR4 (frecuencias de 2400 a 3600 MT/s, 1.2V) y DDR5 (frecuencias de 4800 a 7200+ MT/s, 1.1V, con gestión energética on-die PMIC y On-Die ECC).</w:t>
              <w:br/>
              <w:t>• Latencia CAS (Column Address Strobe).</w:t>
              <w:br/>
              <w:t>• Ancho de bus: 64 bits por canal (DDR4) vs 2 canales de 32 bits por módulo (DDR5).</w:t>
              <w:br/>
              <w:t>• Modos Dual-Channel y Quad-Channel.</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Aloja el kernel del sistema operativo en ejecución, las bibliotecas dinámicas compartidas, los ejecutables de los IDEs, los servidores de bases de datos locales y los datos de las aplicaciones en ejecución, proporcionando tiempos de acceso del orden de nanosegundos.</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Capacidad mínima indispensable de 16 GB, siendo 32 GB la configuración recomendada para desarrollo ADSO. El trabajo con arquitecturas de microservicios, bases de datos en memoria (Redis), motores relacionales (PostgreSQL) y herramientas de análisis estático consume rápidamente la memoria física disponible.</w:t>
            </w:r>
          </w:p>
        </w:tc>
      </w:tr>
      <w:tr>
        <w:trPr>
          <w:cantSplit/>
        </w:trPr>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Placa Base (Motherboard)</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Placa de circuito impreso (PCB) multicapa que sirve como infraestructura de interconexión eléctrica y lógica entre la CPU, la memoria RAM, los buses de expansión, las unidades de almacenamiento masivo y los puertos de entrada y salida.</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Factor de forma estándar: ATX (305x244 mm), Micro-ATX (244x244 mm), Mini-ITX (170x170 mm).</w:t>
              <w:br/>
              <w:t>• Socket de CPU específico (ej. LGA1700 de Intel, AM5 de AMD).</w:t>
              <w:br/>
              <w:t>• Chipset (controlador de líneas PCIe, puertos SATA, USB y conectividad de red).</w:t>
              <w:br/>
              <w:t>• Módulo regulador de voltaje (VRM) con fases de alimentación filtradas para entrega de corriente limpia.</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Distribuye energía eléctrica a todos los subsistemas, sincroniza las señales mediante el generador de reloj, aloja el firmware de inicialización (UEFI/BIOS) y proporciona los canales físicos de interconexión.</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Seleccionar placas con chipsets de gama media o profesional (ej. AMD B650 o Intel B760) con VRM robusto, que ofrezcan al menos 4 ranuras DIMM para expansión de memoria, mínimo 2 ranuras M.2 NVMe con disipador pasivo y conectores de red Gigabit Ethernet (2.5 GbE) para transferencia de entornos de prueba.</w:t>
            </w:r>
          </w:p>
        </w:tc>
      </w:tr>
      <w:tr>
        <w:trPr>
          <w:cantSplit/>
        </w:trPr>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Buses del Sistema y de Expansión</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Canales de comunicación compartidos o punto a punto por donde viajan las señales eléctricas y lógicas entre la CPU y los diferentes dispositivos. Se dividen internamente en Bus de Datos, Bus de Direcciones y Bus de Control.</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Bus de Datos: Transporta la información de bits (ancho de 64 bits en arquitecturas actuales).</w:t>
              <w:br/>
              <w:t>• Bus de Direcciones: Determina la ubicación de memoria a acceder.</w:t>
              <w:br/>
              <w:t>• Bus de Control: Transmite señales de sincronización, lectura/escritura e interrupciones.</w:t>
              <w:br/>
              <w:t>• PCI Express (PCIe): Enlaces punto a punto full-duplex con serialización diferencial en carriles (x1, x4, x8, x16).</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Interconectar a velocidades de varios gigabytes por segundo las tarjetas gráficas dedicadas, las unidades de estado sólido de alto rendimiento y las controladoras de red de alta velocidad directamente con la CPU y el chipset.</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Garantizar que la placa base y el procesador soporten PCIe 4.0 o PCIe 5.0 en al menos las ranuras principales x16 y en los puertos M.2, asegurando el máximo ancho de banda para transferencias de datos locales masivas.</w:t>
            </w:r>
          </w:p>
        </w:tc>
      </w:tr>
    </w:tbl>
    <w:p>
      <w:pPr>
        <w:spacing w:after="80"/>
      </w:pPr>
    </w:p>
    <w:p>
      <w:pPr>
        <w:keepNext/>
        <w:spacing w:before="280" w:after="120"/>
        <w:jc w:val="left"/>
      </w:pPr>
      <w:r>
        <w:rPr>
          <w:rFonts w:ascii="Arial" w:hAnsi="Arial"/>
          <w:b/>
          <w:color w:val="000000"/>
          <w:sz w:val="30"/>
        </w:rPr>
        <w:t>2. CLASIFICACIÓN TÉCNICA DE PERIFÉRICOS</w:t>
      </w:r>
    </w:p>
    <w:p>
      <w:pPr>
        <w:spacing w:after="120" w:before="0" w:line="360" w:lineRule="auto"/>
        <w:jc w:val="both"/>
      </w:pPr>
      <w:r>
        <w:rPr>
          <w:rFonts w:ascii="Arial" w:hAnsi="Arial"/>
          <w:b w:val="0"/>
          <w:i w:val="0"/>
          <w:color w:val="000000"/>
          <w:sz w:val="24"/>
        </w:rPr>
        <w:t>Los periféricos son los dispositivos auxiliares e independientes que se conectan a la unidad central de procesamiento para permitir la interacción del sistema computacional con el entorno exterior y el usuario. De acuerdo con la dirección del flujo de información entre el computador y el medio externo, los periféricos se clasifican rigurosamente en tres categorías: entrada, salida y mixtos (o bidireccionales).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2"/>
        <w:gridCol w:w="1872"/>
        <w:gridCol w:w="1872"/>
        <w:gridCol w:w="1872"/>
        <w:gridCol w:w="1872"/>
      </w:tblGrid>
      <w:tr>
        <w:trPr>
          <w:tblHeader/>
          <w:cantSplit/>
        </w:trPr>
        <w:tc>
          <w:tcPr>
            <w:tcW w:type="dxa" w:w="172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Categoría de Periférico</w:t>
            </w:r>
          </w:p>
        </w:tc>
        <w:tc>
          <w:tcPr>
            <w:tcW w:type="dxa" w:w="2016"/>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Dispositivo de Ejemplo</w:t>
            </w:r>
          </w:p>
        </w:tc>
        <w:tc>
          <w:tcPr>
            <w:tcW w:type="dxa" w:w="2304"/>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Interfaz de Conexión y Ancho de Banda</w:t>
            </w:r>
          </w:p>
        </w:tc>
        <w:tc>
          <w:tcPr>
            <w:tcW w:type="dxa" w:w="259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Mecanismo y Función Técnica</w:t>
            </w:r>
          </w:p>
        </w:tc>
        <w:tc>
          <w:tcPr>
            <w:tcW w:type="dxa" w:w="288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Aplicación en Desarrollo de Software (ADSO)</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Periférico de Entrada</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Teclado Mecánico / Ergonómico</w:t>
            </w:r>
          </w:p>
        </w:tc>
        <w:tc>
          <w:tcPr>
            <w:tcW w:type="dxa" w:w="230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USB 2.0 (Type-A/Type-C) o Inalámbrico 2.4 GHz / Bluetooth 5.0. Tasa de muestreo (Polling Rate) de 1000 Hz.</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Convierte la presión mecánica sobre interruptores individuales (switches táctiles o lineales) en códigos de barrido (scan codes) binarios enviados mediante interrupciones al sistema operativo.</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Herramienta primaria de producción de código fuente. Un teclado con interruptores de calidad y distribución ergonómica reduce la fatiga osteomuscular del programador y minimiza errores de digitación en extensas jornadas de codificación.</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Periférico de Entrada</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Mouse Óptico de Precisión</w:t>
            </w:r>
          </w:p>
        </w:tc>
        <w:tc>
          <w:tcPr>
            <w:tcW w:type="dxa" w:w="230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USB 2.0 o RF 2.4 GHz con receptor dedicado. Resolución óptica de 800 a 4000+ DPI.</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Sensor óptico CMOS con procesamiento digital de señales (DSP) que captura miles de imágenes por segundo de la superficie para calcular vectores de desplazamiento relativo en los ejes X e Y.</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Navegación fluida en interfaces gráficas complejas de desarrollo (IDEs), diseño y modelado de diagramas UML (casos de uso, clases, secuencia) y manipulación visual de maquetas de interfaz de usuario.</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Periférico de Entrada</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Micrófono de Condensador USB</w:t>
            </w:r>
          </w:p>
        </w:tc>
        <w:tc>
          <w:tcPr>
            <w:tcW w:type="dxa" w:w="230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USB 2.0 / USB Audio Class 2.0. Muestreo de audio digital: 24 bits / 48 kHz o 96 kHz.</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Cápsula de condensador con diafragma móvil que traduce variaciones de presión sonora en señales eléctricas moduladas, digitalizadas internamente mediante un convertidor ADC.</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Comunicación nítida en reuniones de diseño de arquitectura de software, ceremonias Scrum virtuales (Dailies, Sprint Reviews) y sustentaciones técnicas remotas de entregables.</w:t>
            </w:r>
          </w:p>
        </w:tc>
      </w:tr>
      <w:tr>
        <w:trPr>
          <w:cantSplit/>
        </w:trPr>
        <w:tc>
          <w:tcPr>
            <w:tcW w:type="dxa" w:w="1728"/>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Periférico de Salida</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Monitor IPS / LED de Alta Resolución</w:t>
            </w:r>
          </w:p>
        </w:tc>
        <w:tc>
          <w:tcPr>
            <w:tcW w:type="dxa" w:w="230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DisplayPort 1.4 / HDMI 2.1. Ancho de banda de 32.4 Gbps a 48 Gbps. Resoluciones FHD (1080p), 2K (1440p) o 4K (2160p).</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Matriz de transistores de película delgada (TFT) que modula la polarización de cristales líquidos retroiluminados por LEDs para generar píxeles de color en espacio RGB con amplios ángulos de visión.</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Visualización simultánea de código fuente, consolas de ejecución de pruebas, documentación técnica de APIs (Swagger/OpenAPI) y herramientas de depuración. La configuración multimonitor o monitores ultrawide incrementa sustancialmente la productividad del aprendiz ADSO.</w:t>
            </w:r>
          </w:p>
        </w:tc>
      </w:tr>
      <w:tr>
        <w:trPr>
          <w:cantSplit/>
        </w:trPr>
        <w:tc>
          <w:tcPr>
            <w:tcW w:type="dxa" w:w="1728"/>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Periférico de Salida</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Altavoces / Auriculares Estéreo</w:t>
            </w:r>
          </w:p>
        </w:tc>
        <w:tc>
          <w:tcPr>
            <w:tcW w:type="dxa" w:w="230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Jack de audio analógico 3.5 mm o USB digital con DAC integrado. Respuesta de frecuencia: 20 Hz - 20,000 Hz.</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Transductores electromagnéticos que convierten señales eléctricas analógicas o digitales filtradas en ondas sonoras acústicas mediante el desplazamiento oscilatorio de una bobina y cono.</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Monitoreo de señales auditivas de accesibilidad (screen readers), retroalimentación sonora en pruebas de software multimedia y atención en capacitaciones y conferencias técnicas.</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Periférico Mixto (E/S)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Pantalla Táctil Interactiva (Touchscreen)</w:t>
            </w:r>
          </w:p>
        </w:tc>
        <w:tc>
          <w:tcPr>
            <w:tcW w:type="dxa" w:w="230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Combinación de interfaz de video (HDMI/DisplayPort) e interfaz de datos (USB táctil capacitivo HID).</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Integra un panel de visualización de imágenes (salida) con una matriz de sensores capacitivos proyectados que detectan cambios electrostáticos al contacto de los dedos (entrada).</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Depuración directa de interfaces de usuario móviles y responsive web, validación de gestos táctiles (swipes, pinches) y pruebas de experiencia de usuario en aplicaciones multiplataforma.</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Periférico Mixto (E/S)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Diadema Headset USB con Micrófono</w:t>
            </w:r>
          </w:p>
        </w:tc>
        <w:tc>
          <w:tcPr>
            <w:tcW w:type="dxa" w:w="230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USB Type-A o Type-C. Arquitectura de audio bidireccional integrada (Full-Duplex).</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Combina transductores de salida (auriculares acústicos) y sensor de entrada (micrófono electret o condensador con cancelación pasiva/activa de ruido) en un único controlador digital.</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Interacción en entornos de desarrollo colaborativo a distancia, permitiendo escuchar las intervenciones de compañeros de equipo y emitir sustentaciones orales claras sin acoples de sonido.</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Periférico Mixto (E/S)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Impresora Multifuncional en Red</w:t>
            </w:r>
          </w:p>
        </w:tc>
        <w:tc>
          <w:tcPr>
            <w:tcW w:type="dxa" w:w="230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Ethernet RJ-45 (10/100 Mbps), Wi-Fi 802.11 b/g/n o USB 2.0.</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Dispositivo de hardware compuesto que integra un escáner óptico digitalizador (entrada de documentos) y un motor de impresión láser o inyección de tinta (salida en papel físico).</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Digitalización de contratos, especificaciones de requerimientos firmadas físicamente por clientes o diagramas de arquitectura dibujados a mano, y posterior impresión de actas técnicas de entrega.</w:t>
            </w:r>
          </w:p>
        </w:tc>
      </w:tr>
    </w:tbl>
    <w:p>
      <w:pPr>
        <w:spacing w:after="80"/>
      </w:pPr>
    </w:p>
    <w:p>
      <w:pPr>
        <w:keepNext/>
        <w:spacing w:before="280" w:after="120"/>
        <w:jc w:val="left"/>
      </w:pPr>
      <w:r>
        <w:rPr>
          <w:rFonts w:ascii="Arial" w:hAnsi="Arial"/>
          <w:b/>
          <w:color w:val="000000"/>
          <w:sz w:val="30"/>
        </w:rPr>
        <w:t>3. TECNOLOGÍAS DE ALMACENAMIENTO PERSISTENTE DE DATOS</w:t>
      </w:r>
    </w:p>
    <w:p>
      <w:pPr>
        <w:spacing w:after="120" w:before="0" w:line="360" w:lineRule="auto"/>
        <w:jc w:val="both"/>
      </w:pPr>
      <w:r>
        <w:rPr>
          <w:rFonts w:ascii="Arial" w:hAnsi="Arial"/>
          <w:b w:val="0"/>
          <w:i w:val="0"/>
          <w:color w:val="000000"/>
          <w:sz w:val="24"/>
        </w:rPr>
        <w:t>El subsistema de almacenamiento persistente es uno de los componentes más determinantes en el rendimiento percibido y real de una estación de trabajo para desarrollo de software. En el ciclo de vida de un sistema intervienen millones de operaciones de lectura y escritura aleatoria de archivos pequeños (código fuente, módulos de dependencias como node_modules o paquetes Maven, tablas de bases de datos transaccionales y archivos binarios de compilación). A continuación se contrastan técnicamente las tecnologías electromecánicas tradicionales y los distintos estándares de estado sólido basados en memorias Flash NAND.</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337"/>
        <w:gridCol w:w="1337"/>
        <w:gridCol w:w="1337"/>
        <w:gridCol w:w="1337"/>
        <w:gridCol w:w="1337"/>
        <w:gridCol w:w="1337"/>
        <w:gridCol w:w="1337"/>
      </w:tblGrid>
      <w:tr>
        <w:trPr>
          <w:tblHeader/>
          <w:cantSplit/>
        </w:trPr>
        <w:tc>
          <w:tcPr>
            <w:tcW w:type="dxa" w:w="172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Tecnología / Interfaz</w:t>
            </w:r>
          </w:p>
        </w:tc>
        <w:tc>
          <w:tcPr>
            <w:tcW w:type="dxa" w:w="216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Medio Físico y Factor de Forma</w:t>
            </w:r>
          </w:p>
        </w:tc>
        <w:tc>
          <w:tcPr>
            <w:tcW w:type="dxa" w:w="187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Velocidades Secuenciales Típicas</w:t>
            </w:r>
          </w:p>
        </w:tc>
        <w:tc>
          <w:tcPr>
            <w:tcW w:type="dxa" w:w="187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Latencia e IOPS Aleatorios (4K)</w:t>
            </w:r>
          </w:p>
        </w:tc>
        <w:tc>
          <w:tcPr>
            <w:tcW w:type="dxa" w:w="2016"/>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Ventajas Operativas</w:t>
            </w:r>
          </w:p>
        </w:tc>
        <w:tc>
          <w:tcPr>
            <w:tcW w:type="dxa" w:w="2016"/>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Limitaciones Técnicas</w:t>
            </w:r>
          </w:p>
        </w:tc>
        <w:tc>
          <w:tcPr>
            <w:tcW w:type="dxa" w:w="2736"/>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Caso de Uso en ADSO</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HDD Mecánico (Hard Disk Drive)</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Platos giratorios recubiertos de material ferromagnético (5400 o 7200 RPM) con cabezal magnético móvil sobre cojinete. Factor de forma de 3.5" (escritorio) o 2.5" (portátil). Conexión SATA III.</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Lectura / Escritura:</w:t>
              <w:br/>
              <w:t>80 a 160 MB/s</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Latencia:</w:t>
              <w:br/>
              <w:t>12 a 18 milisegundos (ms)</w:t>
              <w:br/>
              <w:t>IOPS:</w:t>
              <w:br/>
              <w:t>75 a 150 IOPS (muy baja)</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Costo sumamente bajo por gigabyte.</w:t>
              <w:br/>
              <w:t>• Altas capacidades comerciales disponibles (hasta 22 TB).</w:t>
              <w:br/>
              <w:t>• Alta durabilidad de retención magnética sin energía.</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Gran lentitud en accesos aleatorios debido al tiempo físico de posicionamiento de la aguja y latencia rotacional.</w:t>
              <w:br/>
              <w:t>• Alta susceptibilidad a fallos mecánicos por impactos o vibraciones.</w:t>
              <w:br/>
              <w:t>• Mayor consumo de energía y ruido acústico.</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Inviable como unidad principal del sistema operativo o repositorio de código en desarrollo. Su uso se restringe exclusivamente al respaldo en frío (backups locales históricos), almacenamiento de imágenes ISO o archivado de grandes volúmenes de datos estáticos.</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SSD SATA III (Solid State Drive)</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Chips de memoria no volátil Flash NAND (TLC o QLC) gestionados por un controlador electrónico integrado. Factor de forma clásico de 2.5" en carcasa de aluminio/plástico. Conexión SATA III.</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Lectura: ~520 - 560 MB/s</w:t>
              <w:br/>
              <w:t>Escritura: ~480 - 520 MB/s</w:t>
              <w:br/>
              <w:t>(Limitado por el bus SATA a 6 Gbps)</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Latencia:</w:t>
              <w:br/>
              <w:t>0.05 a 0.1 ms</w:t>
              <w:br/>
              <w:t>IOPS:</w:t>
              <w:br/>
              <w:t>80,000 a 95,000 IOPS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Sin partes mecánicas móviles: total resistencia a impactos físicos y cero ruido.</w:t>
              <w:br/>
              <w:t>• 4 a 5 veces más rápido en transferencias secuenciales que un HDD.</w:t>
              <w:br/>
              <w:t>• Tiempo de arranque del SO reducido a segundos.</w:t>
              <w:br/>
              <w:t>• Compatibilidad universal con placas base legacy.</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El protocolo AHCI y el bus SATA III limitan el rendimiento máximo a ~560 MB/s.</w:t>
              <w:br/>
              <w:t>• Soporta únicamente 1 cola de comandos con profundidad máxima de 32 instrucciones (Queue Depth 32).</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Excelente alternativa económica para actualizar equipos portátiles de cómputo formativo o como disco secundario para almacenamiento de proyectos completados y librerías auxiliares.</w:t>
            </w:r>
          </w:p>
        </w:tc>
      </w:tr>
      <w:tr>
        <w:trPr>
          <w:cantSplit/>
        </w:trPr>
        <w:tc>
          <w:tcPr>
            <w:tcW w:type="dxa" w:w="1728"/>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SSD M.2 SATA</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Memorias Flash NAND en tarjeta de circuito impreso ultra compacta de tipo M.2 (comúnmente factor de forma 2280: 22 mm de ancho por 80 mm de largo), operando internamente bajo protocolo SATA.</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Lectura: ~520 - 550 MB/s</w:t>
              <w:br/>
              <w:t>Escritura: ~480 - 500 MB/s</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Latencia:</w:t>
              <w:br/>
              <w:t>0.05 a 0.1 ms</w:t>
              <w:br/>
              <w:t>IOPS:</w:t>
              <w:br/>
              <w:t>80,000 a 90,000 IOPS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Tamaño miniaturizado sin cables de datos ni de alimentación eléctrica.</w:t>
              <w:br/>
              <w:t>• Se conecta directamente a la placa base.</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Mismo cuello de botella de SATA III (550 MB/s).</w:t>
              <w:br/>
              <w:t>• Consume una ranura M.2 física de la placa base que podría aprovecharse con una unidad NVMe de alto rendimiento.</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Equipos portátiles delgados de gama de entrada donde el fabricante incluyó slots M.2 únicamente compatibles con el protocolo SATA tradicional.</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SSD M.2 NVMe PCIe 3.0 x4</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Módulo M.2 2280 que utiliza el protocolo NVMe (Non-Volatile Memory Express) diseñado específicamente para memoria de estado sólido, comunicándose directamente con la CPU a través de 4 líneas PCI Express 3.0.</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Lectura: 2,500 a 3,500 MB/s</w:t>
              <w:br/>
              <w:t>Escritura: 1,800 a 3,000 MB/s</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Latencia:</w:t>
              <w:br/>
              <w:t>0.02 a 0.04 ms</w:t>
              <w:br/>
              <w:t>IOPS:</w:t>
              <w:br/>
              <w:t>350,000 a 500,000 IOPS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Salto cuántico de rendimiento frente a SATA III (hasta 6 veces más rápido).</w:t>
              <w:br/>
              <w:t>• El protocolo NVMe soporta hasta 64,000 colas de comandos con 64,000 instrucciones cada una, aprovechando el paralelismo masivo de CPUs multinúcleo.</w:t>
              <w:br/>
              <w:t>• Excelente balance costo/beneficio.</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Genera calor moderado que requiere ventilación adecuada en el chasis para evitar estrangulamiento térmico (thermal throttling).</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Estándar base muy adecuado para el desarrollo de software general, bases de datos medianas y proyectos con compilación continua de código.</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SSD M.2 NVMe PCIe 4.0 x4</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Módulo M.2 2280 NVMe de alta velocidad conectado mediante 4 líneas PCI Express 4.0 (duplica el ancho de banda por línea a 2 GB/s por lane, alcanzando un ancho de banda teórico de 8 GB/s).</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Lectura: 5,000 a 7,400 MB/s</w:t>
              <w:br/>
              <w:t>Escritura: 4,500 a 6,800 MB/s</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Latencia:</w:t>
              <w:br/>
              <w:t>0.015 a 0.025 ms</w:t>
              <w:br/>
              <w:t>IOPS:</w:t>
              <w:br/>
              <w:t>800,000 a 1,200,000 IOPS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Velocidad extrema en operaciones de lectura/escritura aleatoria de pequeños bloques de datos.</w:t>
              <w:br/>
              <w:t>• Descompresión de archivos e inicialización de contenedores Docker casi instantánea.</w:t>
              <w:br/>
              <w:t>• Gran resistencia medida en Terabytes Escritos (TBW).</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Mayor costo por gigabyte que PCIe 3.0.</w:t>
              <w:br/>
              <w:t>• Mayor disipación térmica: exige placas base con disipadores de aluminio dedicados sobre la ranura M.2.</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Configuración recomendada para la estación de trabajo ADSO. Reduce al mínimo los tiempos de arranque de IDEs pesados (Visual Studio, Android Studio), acelera drásticamente la instalación de dependencias npm/pip y permite levantar clusters locales de contenedores sin latencia de disco.</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SSD M.2 NVMe PCIe 5.0 x4</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Módulo M.2 NVMe de última generación que explota el bus PCI Express 5.0 (4 GB/s por lane, ancho de banda teórico de 16 GB/s a través de 4 carriles). Memorias NAND de más de 200 capas.</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Lectura: 10,000 a 14,500 MB/s</w:t>
              <w:br/>
              <w:t>Escritura: 9,000 a 12,500 MB/s</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Latencia:</w:t>
              <w:br/>
              <w:t>0.008 a 0.015 ms</w:t>
              <w:br/>
              <w:t>IOPS:</w:t>
              <w:br/>
              <w:t>1,500,000 a 2,500,000+ IOPS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Máximo ancho de banda existente en el mercado de almacenamiento para PC.</w:t>
              <w:br/>
              <w:t>• Flujo de datos masivo sin ningún tipo de congestión de bus.</w:t>
            </w:r>
          </w:p>
        </w:tc>
        <w:tc>
          <w:tcPr>
            <w:tcW w:type="dxa" w:w="201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Costo financiero sumamente elevado.</w:t>
              <w:br/>
              <w:t>• Emisión térmica muy alta que requiere disipadores pasivos de gran tamaño con heatpipes o incluso disipación activa con ventilador.</w:t>
              <w:br/>
              <w:t>• Disponibilidad restringida a plataformas muy recientes.</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Estaciones de trabajo científicas avanzadas, servidores empresariales de procesamiento masivo en tiempo real (Big Data) o entrenamiento intensivo de modelos de inteligencia artificial a nivel corporativo.</w:t>
            </w:r>
          </w:p>
        </w:tc>
      </w:tr>
    </w:tbl>
    <w:p>
      <w:pPr>
        <w:spacing w:after="80"/>
      </w:pPr>
    </w:p>
    <w:p>
      <w:pPr>
        <w:keepNext/>
        <w:spacing w:before="280" w:after="120"/>
        <w:jc w:val="left"/>
      </w:pPr>
      <w:r>
        <w:rPr>
          <w:rFonts w:ascii="Arial" w:hAnsi="Arial"/>
          <w:b/>
          <w:color w:val="000000"/>
          <w:sz w:val="30"/>
        </w:rPr>
        <w:t>4. SISTEMAS OPERATIVOS Y TAXONOMÍA DEL SOFTWARE</w:t>
      </w:r>
    </w:p>
    <w:p>
      <w:pPr>
        <w:spacing w:after="120" w:before="0" w:line="360" w:lineRule="auto"/>
        <w:jc w:val="both"/>
      </w:pPr>
      <w:r>
        <w:rPr>
          <w:rFonts w:ascii="Arial" w:hAnsi="Arial"/>
          <w:b w:val="0"/>
          <w:i w:val="0"/>
          <w:color w:val="000000"/>
          <w:sz w:val="24"/>
        </w:rPr>
        <w:t>Un Sistema Operativo (SO) es el software base fundamental que actúa como intermediario entre el hardware físico de la máquina, las aplicaciones de software y el usuario final. Su propósito esencial es abstraer la complejidad del hardware, gestionar de manera eficiente y equitativa los recursos finitos del computador (procesador, memoria, dispositivos de entrada/salida y archivos) y proporcionar un entorno seguro y estable donde puedan ejecutarse los programas.</w:t>
      </w:r>
    </w:p>
    <w:p>
      <w:pPr>
        <w:keepNext/>
        <w:spacing w:before="240" w:after="80"/>
        <w:jc w:val="left"/>
      </w:pPr>
      <w:r>
        <w:rPr>
          <w:rFonts w:ascii="Arial" w:hAnsi="Arial"/>
          <w:b/>
          <w:color w:val="000000"/>
          <w:sz w:val="26"/>
        </w:rPr>
        <w:t>Los Cinco Pilares Fundamentales de un Sistema Operativo:</w:t>
      </w:r>
    </w:p>
    <w:p>
      <w:pPr>
        <w:pStyle w:val="ListBullet"/>
        <w:spacing w:after="80" w:before="0" w:line="276" w:lineRule="auto"/>
        <w:jc w:val="both"/>
      </w:pPr>
      <w:r>
        <w:rPr>
          <w:rFonts w:ascii="Arial" w:hAnsi="Arial"/>
          <w:b/>
          <w:color w:val="000000"/>
          <w:sz w:val="24"/>
        </w:rPr>
        <w:t xml:space="preserve">1. Gestión de Procesos: </w:t>
      </w:r>
      <w:r>
        <w:rPr>
          <w:rFonts w:ascii="Arial" w:hAnsi="Arial"/>
          <w:color w:val="000000"/>
          <w:sz w:val="24"/>
        </w:rPr>
        <w:t>Un proceso es un programa en ejecución. El sistema operativo es responsable de crear, planificar y finalizar procesos. El planificador de CPU (Scheduler) aplica algoritmos matemáticos (Round Robin, Prioridad Estricta, CFS en Linux) para conmutar la CPU entre múltiples hilos, garantizando multitarea fluida, previniendo bloqueos mutuos (deadlocks) y gestionando la sincronización interprocesos (IPC).</w:t>
      </w:r>
    </w:p>
    <w:p>
      <w:pPr>
        <w:pStyle w:val="ListBullet"/>
        <w:spacing w:after="80" w:before="0" w:line="276" w:lineRule="auto"/>
        <w:jc w:val="both"/>
      </w:pPr>
      <w:r>
        <w:rPr>
          <w:rFonts w:ascii="Arial" w:hAnsi="Arial"/>
          <w:b/>
          <w:color w:val="000000"/>
          <w:sz w:val="24"/>
        </w:rPr>
        <w:t xml:space="preserve">2. Gestión de Memoria Principal: </w:t>
      </w:r>
      <w:r>
        <w:rPr>
          <w:rFonts w:ascii="Arial" w:hAnsi="Arial"/>
          <w:color w:val="000000"/>
          <w:sz w:val="24"/>
        </w:rPr>
        <w:t>Supervisa qué partes de la memoria están en uso y por quién. Implementa el concepto de Memoria Virtual mediante técnicas de Paginación y Segmentación, permitiendo que las aplicaciones utilicen un espacio de direcciones contiguo y protegido sin importar la ubicación física real en la memoria RAM. Realiza el intercambio (swapping) entre RAM y disco cuando la memoria física es insuficiente.</w:t>
      </w:r>
    </w:p>
    <w:p>
      <w:pPr>
        <w:pStyle w:val="ListBullet"/>
        <w:spacing w:after="80" w:before="0" w:line="276" w:lineRule="auto"/>
        <w:jc w:val="both"/>
      </w:pPr>
      <w:r>
        <w:rPr>
          <w:rFonts w:ascii="Arial" w:hAnsi="Arial"/>
          <w:b/>
          <w:color w:val="000000"/>
          <w:sz w:val="24"/>
        </w:rPr>
        <w:t xml:space="preserve">3. Gestión del Sistema de Archivos: </w:t>
      </w:r>
      <w:r>
        <w:rPr>
          <w:rFonts w:ascii="Arial" w:hAnsi="Arial"/>
          <w:color w:val="000000"/>
          <w:sz w:val="24"/>
        </w:rPr>
        <w:t>Abstrae el almacenamiento masivo físico en estructuras lógicas jerárquicas de directorios y archivos. Administra los permisos de lectura, escritura y ejecución, el espacio libre y la integridad transaccional mediante mecanismos de Journaling (bitácora) para evitar la corrupción de datos ante cortes eléctricos imprevistos (ej. NTFS en Windows, EXT4/Btrfs en Linux, APFS en macOS).</w:t>
      </w:r>
    </w:p>
    <w:p>
      <w:pPr>
        <w:pStyle w:val="ListBullet"/>
        <w:spacing w:after="80" w:before="0" w:line="276" w:lineRule="auto"/>
        <w:jc w:val="both"/>
      </w:pPr>
      <w:r>
        <w:rPr>
          <w:rFonts w:ascii="Arial" w:hAnsi="Arial"/>
          <w:b/>
          <w:color w:val="000000"/>
          <w:sz w:val="24"/>
        </w:rPr>
        <w:t xml:space="preserve">4. Subsistema de Entrada y Salida (E/S): </w:t>
      </w:r>
      <w:r>
        <w:rPr>
          <w:rFonts w:ascii="Arial" w:hAnsi="Arial"/>
          <w:color w:val="000000"/>
          <w:sz w:val="24"/>
        </w:rPr>
        <w:t>Oculta las peculiaridades y detalles específicos de cada periférico de hardware mediante el uso de controladores de dispositivos (device drivers). Implementa almacenamiento intermedio en memoria (buffering), almacenamiento en caché (caching) y colas de impresión y acceso (spooling), además de coordinar el Acceso Directo a Memoria (DMA) para transferir datos entre disco/red y RAM sin saturar la CPU.</w:t>
      </w:r>
    </w:p>
    <w:p>
      <w:pPr>
        <w:pStyle w:val="ListBullet"/>
        <w:spacing w:after="80" w:before="0" w:line="276" w:lineRule="auto"/>
        <w:jc w:val="both"/>
      </w:pPr>
      <w:r>
        <w:rPr>
          <w:rFonts w:ascii="Arial" w:hAnsi="Arial"/>
          <w:b/>
          <w:color w:val="000000"/>
          <w:sz w:val="24"/>
        </w:rPr>
        <w:t xml:space="preserve">5. Seguridad y Control de Acceso: </w:t>
      </w:r>
      <w:r>
        <w:rPr>
          <w:rFonts w:ascii="Arial" w:hAnsi="Arial"/>
          <w:color w:val="000000"/>
          <w:sz w:val="24"/>
        </w:rPr>
        <w:t>Protege los recursos del sistema y los datos de usuarios contra accesos no autorizados o fallos de software. Separa el espacio de ejecución en dos modos fundamentales de procesador: Modo Kernel (privilegiado, con acceso irrestricto al hardware) y Modo Usuario (restringido). Aplica matrices y listas de control de acceso (ACL), políticas de autenticación y mecanismos de sandboxing para aislar procesos defectuosos.</w:t>
      </w:r>
    </w:p>
    <w:p>
      <w:pPr>
        <w:spacing w:after="120" w:before="0" w:line="360" w:lineRule="auto"/>
        <w:jc w:val="both"/>
      </w:pPr>
    </w:p>
    <w:p>
      <w:pPr>
        <w:keepNext/>
        <w:spacing w:before="240" w:after="80"/>
        <w:jc w:val="left"/>
      </w:pPr>
      <w:r>
        <w:rPr>
          <w:rFonts w:ascii="Arial" w:hAnsi="Arial"/>
          <w:b/>
          <w:color w:val="000000"/>
          <w:sz w:val="26"/>
        </w:rPr>
        <w:t>Taxonomía del Software en el Ecosistema Informático:</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2"/>
        <w:gridCol w:w="1872"/>
        <w:gridCol w:w="1872"/>
        <w:gridCol w:w="1872"/>
        <w:gridCol w:w="1872"/>
      </w:tblGrid>
      <w:tr>
        <w:trPr>
          <w:tblHeader/>
          <w:cantSplit/>
        </w:trPr>
        <w:tc>
          <w:tcPr>
            <w:tcW w:type="dxa" w:w="187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Tipo de Software</w:t>
            </w:r>
          </w:p>
        </w:tc>
        <w:tc>
          <w:tcPr>
            <w:tcW w:type="dxa" w:w="244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Definición Conceptual</w:t>
            </w:r>
          </w:p>
        </w:tc>
        <w:tc>
          <w:tcPr>
            <w:tcW w:type="dxa" w:w="259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Funcionalidades Clave</w:t>
            </w:r>
          </w:p>
        </w:tc>
        <w:tc>
          <w:tcPr>
            <w:tcW w:type="dxa" w:w="244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Ejemplos Representativos</w:t>
            </w:r>
          </w:p>
        </w:tc>
        <w:tc>
          <w:tcPr>
            <w:tcW w:type="dxa" w:w="216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Relevancia en ADSO</w:t>
            </w:r>
          </w:p>
        </w:tc>
      </w:tr>
      <w:tr>
        <w:trPr>
          <w:cantSplit/>
        </w:trPr>
        <w:tc>
          <w:tcPr>
            <w:tcW w:type="dxa" w:w="1872"/>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Software de Sistema</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Programas diseñados para operar, controlar y extender las capacidades de procesamiento de la computadora física de manera directa.</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Abstracción del hardware.</w:t>
              <w:br/>
              <w:t>• Asignación de recursos compartidos.</w:t>
              <w:br/>
              <w:t>• Ejecución de servicios y demonios en segundo plano.</w:t>
              <w:br/>
              <w:t>• Interfaces de línea de comandos (CLI) e interfaces gráficas (GUI).</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GNU/Linux (Ubuntu Server, Debian, Red Hat, Arch).</w:t>
              <w:br/>
              <w:t>• Microsoft Windows 11 / Windows Server.</w:t>
              <w:br/>
              <w:t>• Apple macOS.</w:t>
              <w:br/>
              <w:t>• Firmware UEFI / BIOS.</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Plataforma sobre la cual corre toda la pila de desarrollo. Linux es el estándar de facto para el despliegue de contenedores y servicios cloud, mientras que Windows y macOS proporcionan entornos de escritorio consolidados.</w:t>
            </w:r>
          </w:p>
        </w:tc>
      </w:tr>
      <w:tr>
        <w:trPr>
          <w:cantSplit/>
        </w:trPr>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Software de Programación / Desarrollo</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Herramientas creadas por y para desarrolladores de software, destinadas a la concepción, escritura, traducción, depuración y mantenimiento de código.</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Edición avanzada de código fuente con resaltado sintáctico y autocompletado inteligente (LSP).</w:t>
              <w:br/>
              <w:t>• Compilación e interpretación.</w:t>
              <w:br/>
              <w:t>• Depuración paso a paso (breakpoints, inspección de memoria).</w:t>
              <w:br/>
              <w:t>• Control de versiones distribuido.</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IDEs: Visual Studio Code, JetBrains IntelliJ IDEA, PyCharm.</w:t>
              <w:br/>
              <w:t>• Compiladores: GCC, Clang, Rustc.</w:t>
              <w:br/>
              <w:t>• Entornos de ejecución: Node.js, OpenJDK, Python runtime.</w:t>
              <w:br/>
              <w:t>• Herramientas Git, Postman, Docker Desktop.</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Conjunto directo de instrumentos de trabajo del tecnólogo en ADSO. Permite implementar las especificaciones funcionales del software mediante arquitecturas orientadas a microservicios.</w:t>
            </w:r>
          </w:p>
        </w:tc>
      </w:tr>
      <w:tr>
        <w:trPr>
          <w:cantSplit/>
        </w:trPr>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Software de Aplicación</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Programas desarrollados para ayudar al usuario final a realizar tareas específicas, productivas, recreativas o comunicativas.</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Procesamiento de información orientada al negocio.</w:t>
              <w:br/>
              <w:t>• Automatización de flujos administrativos.</w:t>
              <w:br/>
              <w:t>• Presentación y análisis de datos visuales.</w:t>
              <w:br/>
              <w:t>• Interacción persona-ordenador de alto nivel.</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Suites ofimáticas: Microsoft Office 365, LibreOffice, Google Workspace.</w:t>
              <w:br/>
              <w:t>• Navegadores web: Google Chrome, Mozilla Firefox, Brave.</w:t>
              <w:br/>
              <w:t>• Clientes de mensajería empresarial: Microsoft Teams, Slack.</w:t>
              <w:br/>
              <w:t>• Sistemas ERP y CRM comerciales.</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 emplea para redactar documentación técnica (SRS), registrar historias de usuario, estimar costos en hojas de cálculo y socializar propuestas de software ante el cliente.</w:t>
            </w:r>
          </w:p>
        </w:tc>
      </w:tr>
      <w:tr>
        <w:trPr>
          <w:cantSplit/>
        </w:trPr>
        <w:tc>
          <w:tcPr>
            <w:tcW w:type="dxa" w:w="1872"/>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Software Utilitario</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Programas orientados al mantenimiento, soporte, diagnóstico, seguridad y optimización técnica del computador y sus periféricos.</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Compresión y descompresión de archivos masivos.</w:t>
              <w:br/>
              <w:t>• Protección contra software malicioso (antivirus, antimalware).</w:t>
              <w:br/>
              <w:t>• Diagnóstico de salud de componentes (S.M.A.R.T. en discos, temperaturas de CPU).</w:t>
              <w:br/>
              <w:t>• Respaldo, particionado y clonación.</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Compresores: 7-Zip, WinRAR.</w:t>
              <w:br/>
              <w:t>• Diagnóstico: CrystalDiskInfo, HWiNFO64, CPU-Z.</w:t>
              <w:br/>
              <w:t>• Respaldo: Clonezilla, Macrium Reflect.</w:t>
              <w:br/>
              <w:t>• Seguridad: Windows Defender, Bitdefender.</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Garantiza la estabilidad e integridad de la estación de desarrollo, protegiendo el código fuente contra pérdidas por fallos físicos de hardware o intrusiones de seguridad.</w:t>
            </w:r>
          </w:p>
        </w:tc>
      </w:tr>
    </w:tbl>
    <w:p>
      <w:pPr>
        <w:spacing w:after="80"/>
      </w:pPr>
    </w:p>
    <w:p>
      <w:pPr>
        <w:keepNext/>
        <w:spacing w:before="280" w:after="120"/>
        <w:jc w:val="left"/>
      </w:pPr>
      <w:r>
        <w:rPr>
          <w:rFonts w:ascii="Arial" w:hAnsi="Arial"/>
          <w:b/>
          <w:color w:val="000000"/>
          <w:sz w:val="30"/>
        </w:rPr>
        <w:t>5. TECNOLOGÍAS DE INTERNET Y MEDIOS DE CONECTIVIDAD</w:t>
      </w:r>
    </w:p>
    <w:p>
      <w:pPr>
        <w:spacing w:after="120" w:before="0" w:line="360" w:lineRule="auto"/>
        <w:jc w:val="both"/>
      </w:pPr>
      <w:r>
        <w:rPr>
          <w:rFonts w:ascii="Arial" w:hAnsi="Arial"/>
          <w:b w:val="0"/>
          <w:i w:val="0"/>
          <w:color w:val="000000"/>
          <w:sz w:val="24"/>
        </w:rPr>
        <w:t>Internet es la infraestructura de telecomunicaciones global interconectada mediante la pila de protocolos TCP/IP. En una arquitectura orientada a servicios, la conectividad no es un elemento secundario, sino la arteria por donde fluyen las peticiones HTTP/REST, las sincronizaciones de bases de datos distribuidas y el despliegue continuo (CI/CD). La elección del medio de transmisión define el ancho de banda efectivo (tasa de transferencia de bits por segundo), la latencia (tiempo que tarda un paquete en viajar del origen al destino, medido en milisegundos), la estabilidad y la cobertura geográfica.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337"/>
        <w:gridCol w:w="1337"/>
        <w:gridCol w:w="1337"/>
        <w:gridCol w:w="1337"/>
        <w:gridCol w:w="1337"/>
        <w:gridCol w:w="1337"/>
        <w:gridCol w:w="1337"/>
      </w:tblGrid>
      <w:tr>
        <w:trPr>
          <w:tblHeader/>
          <w:cantSplit/>
        </w:trPr>
        <w:tc>
          <w:tcPr>
            <w:tcW w:type="dxa" w:w="172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Medio de Conectividad</w:t>
            </w:r>
          </w:p>
        </w:tc>
        <w:tc>
          <w:tcPr>
            <w:tcW w:type="dxa" w:w="216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Naturaleza Física de Transmisión</w:t>
            </w:r>
          </w:p>
        </w:tc>
        <w:tc>
          <w:tcPr>
            <w:tcW w:type="dxa" w:w="172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Ancho de Banda Típico</w:t>
            </w:r>
          </w:p>
        </w:tc>
        <w:tc>
          <w:tcPr>
            <w:tcW w:type="dxa" w:w="1584"/>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Latencia Promedio</w:t>
            </w:r>
          </w:p>
        </w:tc>
        <w:tc>
          <w:tcPr>
            <w:tcW w:type="dxa" w:w="216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Ventajas Técnicas</w:t>
            </w:r>
          </w:p>
        </w:tc>
        <w:tc>
          <w:tcPr>
            <w:tcW w:type="dxa" w:w="216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Limitaciones Técnicas</w:t>
            </w:r>
          </w:p>
        </w:tc>
        <w:tc>
          <w:tcPr>
            <w:tcW w:type="dxa" w:w="2736"/>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Aplicación en el Ciclo ADSO</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Fibra Óptica (FTTH / GPON)</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Medio guiado que transporta pulsos de luz modulada (fotones) a través de filamentos transparentes de vidrio de sílice puro. Arquitectura Fiber To The Home (FTTH) mediante redes ópticas pasivas (GPON/XGS-PON).</w:t>
            </w:r>
          </w:p>
        </w:tc>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Descarga: 200 a 1000+ Mbps</w:t>
              <w:br/>
              <w:t>Subida: 200 a 1000+ Mbps</w:t>
              <w:br/>
              <w:t>(Conexión 100% Simétrica)</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Latencia:</w:t>
              <w:br/>
              <w:t>1 a 5 ms</w:t>
              <w:br/>
              <w:t>Jitter despreciable (&lt;1 ms)</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Ancho de banda extraordinariamente elevado y simétrico.</w:t>
              <w:br/>
              <w:t>• Totalmente inmune a interferencias electromagnéticas (EMI/RFI).</w:t>
              <w:br/>
              <w:t>• Atenuación de señal extremadamente baja en largas distancias.</w:t>
              <w:br/>
              <w:t>• Conexión ininterrumpida y estable.</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Despliegue físico costoso que requiere canalización física y empalmes por fusión óptica especializados.</w:t>
              <w:br/>
              <w:t>• Fragilidad ante curvaturas excesivas o cortes accidentales del cableado exterior.</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Es el canal de telecomunicación ideal y obligatorio para la sede principal de desarrollo de software. Permite sincronizaciones masivas de repositorios Git, subida de imágenes Docker pesadas al registro remoto (Docker Hub / AWS ECR) y pruebas de carga sobre microservicios sin cuellos de botella de red.</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Wi-Fi (Redes Inalámbricas Locales)</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Medio no guiado que utiliza ondas de radiofrecuencia moduladas bajo los estándares IEEE 802.11 (Wi-Fi 5 / 802.11ac en 5 GHz, Wi-Fi 6 / 802.11ax en 2.4/5 GHz, Wi-Fi 6E/7 en 6 GHz con modulaciones 1024-QAM / 4096-QAM).</w:t>
            </w:r>
          </w:p>
        </w:tc>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Wi-Fi 5: 300 - 867 Mbps</w:t>
              <w:br/>
              <w:t>Wi-Fi 6: 1.2 - 2.4 Gbps</w:t>
              <w:br/>
              <w:t>Wi-Fi 7: hasta 5+ Gbps teóricos</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Latencia:</w:t>
              <w:br/>
              <w:t>4 a 15 ms en condiciones óptimas</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Total movilidad de terminales portátiles dentro del ambiente de trabajo o centro de formación.</w:t>
              <w:br/>
              <w:t>• Eliminación del cableado físico hacia puestos individuales de trabajo.</w:t>
              <w:br/>
              <w:t>• Wi-Fi 6 soporta alta densidad de dispositivos concurrentes mediante OFDMA y MU-MIMO bidireccional.</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Susceptible a degradación y atenuación por paredes, pisos de concreto y metales.</w:t>
              <w:br/>
              <w:t>• Sensible a interferencias de canales adyacentes y hornos microondas en 2.4 GHz.</w:t>
              <w:br/>
              <w:t>• Mayor latencia y jitter que una conexión Ethernet cableada.</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Permite el trabajo colaborativo en mesas del ambiente SENA, sincronización de dispositivos de prueba móviles (smartphones/tablets) y validación de endpoints de APIs desde redes de acceso local.</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Redes Celulares 4G LTE</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Red inalámbrica de telecomunicaciones móviles basada íntegramente en conmutación de paquetes por protocolo IP. Utiliza antenas de telefonía celular y modulación SC-FDMA / OFDMA.</w:t>
            </w:r>
          </w:p>
        </w:tc>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Descarga: 15 a 60 Mbps</w:t>
              <w:br/>
              <w:t>Subida: 5 a 20 Mbps</w:t>
              <w:br/>
              <w:t>(Generalmente asimétrica)</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Latencia:</w:t>
              <w:br/>
              <w:t>30 a 60 ms</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Amplísima cobertura geográfica a nivel nacional (urbana e intermunicipal).</w:t>
              <w:br/>
              <w:t>• Conexión inmediata en movimiento sin necesidad de infraestructura local previa.</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Planes de datos comúnmente sujetos a topes de consumo (gigas limitadas).</w:t>
              <w:br/>
              <w:t>• Variabilidad de velocidad por saturación de la celda de la antena celular o condiciones climáticas.</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Excelente como mecanismo de redundancia (failover) mediante tethering móvil para no interrumpir entregas críticas ante cortes del proveedor de fibra, y para validar aplicaciones web en redes móviles promedio.</w:t>
            </w:r>
          </w:p>
        </w:tc>
      </w:tr>
      <w:tr>
        <w:trPr>
          <w:cantSplit/>
        </w:trPr>
        <w:tc>
          <w:tcPr>
            <w:tcW w:type="dxa" w:w="1728"/>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Redes Celulares 5G</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Quinta generación de telefonía móvil celular. Opera en bandas medias (Sub-6 GHz) y frecuencias de ondas milimétricas (mmWave de 24 a 40+ GHz) con conformación de haces (Beamforming) y Massive MIMO.</w:t>
            </w:r>
          </w:p>
        </w:tc>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Descarga: 150 a 1000+ Mbps</w:t>
              <w:br/>
              <w:t>Subida: 50 a 150+ Mbps</w:t>
              <w:br/>
              <w:t>(Hasta 10 Gbps en mmWave)</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Latencia:</w:t>
              <w:br/>
              <w:t>1 a 5 ms (URLLC - Ultra Reliable Low Latency Communication)</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Velocidades de transferencia comparables a la fibra óptica.</w:t>
              <w:br/>
              <w:t>• Latencia extremadamente baja para control en tiempo real.</w:t>
              <w:br/>
              <w:t>• Segmentación de red (Network Slicing) y soporte masivo para millones de dispositivos IoT por kilómetro cuadrado.</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Alcance sumamente corto en frecuencias mmWave con nula penetración a través de muros y follaje vegetal.</w:t>
              <w:br/>
              <w:t>• Despliegue de infraestructura aún en fase de expansión territorial en Colombia.</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Habilitador clave para soluciones tecnológicas que involucren Internet de las Cosas (IoT), telemetría médica en tiempo real, streaming de datos continuo y procesamiento en el borde (Edge Computing).</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Internet Satelital LEO (Órbita Baja)</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Constelaciones compuestas por miles de satélites artificiales orbitando en la termósfera a baja altitud (500 a 1200 km de la Tierra, como Starlink). Utiliza antenas parabólicas de matriz en fase (Phased Array) orientadas electrónicamente.</w:t>
            </w:r>
          </w:p>
        </w:tc>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Descarga: 80 a 220 Mbps</w:t>
              <w:br/>
              <w:t>Subida: 15 a 35 Mbps</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Latencia:</w:t>
              <w:br/>
              <w:t>25 a 45 ms</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Cobertura en cualquier coordenada geográfica del país, incluyendo zonas rurales y selváticas sin tendidos eléctricos ni de fibra.</w:t>
              <w:br/>
              <w:t>• Latencia drásticamente inferior a la de los satélites geoestacionarios tradicionales.</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Costo de adquisición de la antena y suscripción mensual elevado.</w:t>
              <w:br/>
              <w:t>• Vulnerable a obstrucciones físicas de árboles o tejados y a la atenuación por lluvias torrenciales densas.</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Solución ideal para aprendices o desarrolladores que desempeñan teletrabajo o labores de campo en áreas rurales del Huila, permitiendo mantener comunicación y sincronización constante de código con repositorios remotos.</w:t>
            </w:r>
          </w:p>
        </w:tc>
      </w:tr>
      <w:tr>
        <w:trPr>
          <w:cantSplit/>
        </w:trPr>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Internet Satelital GEO (Geoestacionario)</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Satélite de comunicaciones posicionado en órbita geoestacionaria fija a 35,786 km de altitud sobre la línea del ecuador (ej. HughesNet).</w:t>
            </w:r>
          </w:p>
        </w:tc>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Descarga: 10 a 25 Mbps</w:t>
              <w:br/>
              <w:t>Subida: 2 a 5 Mbps</w:t>
            </w:r>
          </w:p>
        </w:tc>
        <w:tc>
          <w:tcPr>
            <w:tcW w:type="dxa" w:w="1584"/>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Latencia:</w:t>
              <w:br/>
              <w:t>600 a 800+ ms (debido al viaje de ida y vuelta de 72,000 km de la señal)</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Cobertura masiva que abarca continentes enteros con un solo artefacto espacial.</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Latencia astronómica que imposibilita la comunicación en tiempo real.</w:t>
              <w:br/>
              <w:t>• Sesiones SSH congeladas y fallos en llamadas VoIP o videoconferencias.</w:t>
              <w:br/>
              <w:t>• Políticas de uso justo con degradación extrema de velocidad.</w:t>
            </w:r>
          </w:p>
        </w:tc>
        <w:tc>
          <w:tcPr>
            <w:tcW w:type="dxa" w:w="2736"/>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Inadecuado para el desarrollo ágil de software contemporáneo. Su aplicación se limita a contingencias extremas de telegrafía de datos, correo básico en áreas totalmente inaccesibles y alertas meteorológicas.</w:t>
            </w:r>
          </w:p>
        </w:tc>
      </w:tr>
    </w:tbl>
    <w:p>
      <w:pPr>
        <w:spacing w:after="80"/>
      </w:pPr>
    </w:p>
    <w:p>
      <w:pPr>
        <w:keepNext/>
        <w:spacing w:before="280" w:after="120"/>
        <w:jc w:val="left"/>
      </w:pPr>
      <w:r>
        <w:rPr>
          <w:rFonts w:ascii="Arial" w:hAnsi="Arial"/>
          <w:b/>
          <w:color w:val="000000"/>
          <w:sz w:val="30"/>
        </w:rPr>
        <w:t>6. ALISTAMIENTO TÉCNICO PARA EL PROYECTO FORMATIVO ADSO</w:t>
      </w:r>
    </w:p>
    <w:p>
      <w:pPr>
        <w:spacing w:after="120" w:before="0" w:line="360" w:lineRule="auto"/>
        <w:jc w:val="both"/>
      </w:pPr>
      <w:r>
        <w:rPr>
          <w:rFonts w:ascii="Arial" w:hAnsi="Arial"/>
          <w:b w:val="0"/>
          <w:i w:val="0"/>
          <w:color w:val="000000"/>
          <w:sz w:val="24"/>
        </w:rPr>
        <w:t>Con base en el análisis comparativo exhaustivo y los requerimientos del proyecto formativo "Desarrollo de software orientado a servicios V2", se formula a continuación la especificación técnica justificada del puesto de trabajo informático alistado para el aprendiz:</w:t>
      </w:r>
    </w:p>
    <w:p>
      <w:pPr>
        <w:pStyle w:val="ListBullet"/>
        <w:spacing w:after="80" w:before="0" w:line="276" w:lineRule="auto"/>
        <w:jc w:val="both"/>
      </w:pPr>
      <w:r>
        <w:rPr>
          <w:rFonts w:ascii="Arial" w:hAnsi="Arial"/>
          <w:b/>
          <w:color w:val="000000"/>
          <w:sz w:val="24"/>
        </w:rPr>
        <w:t xml:space="preserve">• Procesador (CPU): </w:t>
      </w:r>
      <w:r>
        <w:rPr>
          <w:rFonts w:ascii="Arial" w:hAnsi="Arial"/>
          <w:color w:val="000000"/>
          <w:sz w:val="24"/>
        </w:rPr>
        <w:t>AMD Ryzen 7 5700X o Intel Core i7-12700 (8 núcleos físicos / 16 hilos, 3.4 a 4.6 GHz, caché L3 de 32 MB). Justificación: El desarrollo orientado a servicios implica ejecutar simultáneamente el IDE de desarrollo, múltiples servicios de backend (APIs en Node.js/Spring Boot), un motor de base de datos PostgreSQL en contenedor y herramientas de prueba como Postman y Docker. La capacidad de procesamiento multihilo evita congelamientos durante la compilación y ejecución de tests automatizados.</w:t>
      </w:r>
    </w:p>
    <w:p>
      <w:pPr>
        <w:pStyle w:val="ListBullet"/>
        <w:spacing w:after="80" w:before="0" w:line="276" w:lineRule="auto"/>
        <w:jc w:val="both"/>
      </w:pPr>
      <w:r>
        <w:rPr>
          <w:rFonts w:ascii="Arial" w:hAnsi="Arial"/>
          <w:b/>
          <w:color w:val="000000"/>
          <w:sz w:val="24"/>
        </w:rPr>
        <w:t xml:space="preserve">• Memoria RAM: </w:t>
      </w:r>
      <w:r>
        <w:rPr>
          <w:rFonts w:ascii="Arial" w:hAnsi="Arial"/>
          <w:color w:val="000000"/>
          <w:sz w:val="24"/>
        </w:rPr>
        <w:t>32 GB DDR4 a 3200 MHz en configuración Dual-Channel (2 x 16 GB). Justificación: Un entorno con Windows 11 base consume 4 a 5 GB de RAM. VS Code con extensiones avanzadas consume ~2 GB; Docker Desktop con el motor WSL2 de Linux asigna entre 8 y 12 GB de memoria de trabajo; un navegador web con múltiples pestañas de documentación técnica y consola de inspección consume ~3 GB. Los 32 GB aseguran un margen operativo holgado sin recurrir a memoria virtual en disco.</w:t>
      </w:r>
    </w:p>
    <w:p>
      <w:pPr>
        <w:pStyle w:val="ListBullet"/>
        <w:spacing w:after="80" w:before="0" w:line="276" w:lineRule="auto"/>
        <w:jc w:val="both"/>
      </w:pPr>
      <w:r>
        <w:rPr>
          <w:rFonts w:ascii="Arial" w:hAnsi="Arial"/>
          <w:b/>
          <w:color w:val="000000"/>
          <w:sz w:val="24"/>
        </w:rPr>
        <w:t xml:space="preserve">• Almacenamiento Masivo: </w:t>
      </w:r>
      <w:r>
        <w:rPr>
          <w:rFonts w:ascii="Arial" w:hAnsi="Arial"/>
          <w:color w:val="000000"/>
          <w:sz w:val="24"/>
        </w:rPr>
        <w:t>SSD M.2 NVMe PCIe 4.0 de 1 TB (lectura secuencial de 7,000 MB/s y 1,000,000 IOPS aleatorios) complementado con un HDD secundario de 2 TB para copias de seguridad locales. Justificación: Los tiempos de lectura y escritura son críticos en ADSO: la descarga e indexación de dependencias (npm install, pip install, mvn clean install) involucra miles de archivos diminutos. El almacenamiento PCIe 4.0 reduce estos procesos de minutos a meros segundos.</w:t>
      </w:r>
    </w:p>
    <w:p>
      <w:pPr>
        <w:pStyle w:val="ListBullet"/>
        <w:spacing w:after="80" w:before="0" w:line="276" w:lineRule="auto"/>
        <w:jc w:val="both"/>
      </w:pPr>
      <w:r>
        <w:rPr>
          <w:rFonts w:ascii="Arial" w:hAnsi="Arial"/>
          <w:b/>
          <w:color w:val="000000"/>
          <w:sz w:val="24"/>
        </w:rPr>
        <w:t xml:space="preserve">• Periféricos de Trabajo: </w:t>
      </w:r>
      <w:r>
        <w:rPr>
          <w:rFonts w:ascii="Arial" w:hAnsi="Arial"/>
          <w:color w:val="000000"/>
          <w:sz w:val="24"/>
        </w:rPr>
        <w:t>Configuración de doble monitor: Monitor principal de 27" IPS con resolución 2K QHD (2560x1440) calibrado a 60 Hz para visualización amplia de código fuente y diagramas UML, y monitor secundario de 24" FHD en orientación vertical para consolas de depuración y logs continuos. Teclado mecánico ergonómico con switches silenciosos y mouse óptico ergonómico para prevención de síndrome del túnel carpiano. Diadema USB con cancelación de ruido para reuniones técnicas.</w:t>
      </w:r>
    </w:p>
    <w:p>
      <w:pPr>
        <w:pStyle w:val="ListBullet"/>
        <w:spacing w:after="80" w:before="0" w:line="276" w:lineRule="auto"/>
        <w:jc w:val="both"/>
      </w:pPr>
      <w:r>
        <w:rPr>
          <w:rFonts w:ascii="Arial" w:hAnsi="Arial"/>
          <w:b/>
          <w:color w:val="000000"/>
          <w:sz w:val="24"/>
        </w:rPr>
        <w:t xml:space="preserve">• Sistema Operativo y Entorno de Desarrollo: </w:t>
      </w:r>
      <w:r>
        <w:rPr>
          <w:rFonts w:ascii="Arial" w:hAnsi="Arial"/>
          <w:color w:val="000000"/>
          <w:sz w:val="24"/>
        </w:rPr>
        <w:t>Microsoft Windows 11 Pro de 64 bits con la característica Windows Subsystem for Linux 2 (WSL2) ejecutando una distribución Ubuntu Linux 22.04 LTS. Justificación: Permite combinar la compatibilidad de software ofimático y productividad de Windows con el entorno nativo Linux indispensable para compilar y ejecutar contenedores Docker y microservicios idénticos a los servidores de producción cloud.</w:t>
      </w:r>
    </w:p>
    <w:p>
      <w:pPr>
        <w:pStyle w:val="ListBullet"/>
        <w:spacing w:after="80" w:before="0" w:line="276" w:lineRule="auto"/>
        <w:jc w:val="both"/>
      </w:pPr>
      <w:r>
        <w:rPr>
          <w:rFonts w:ascii="Arial" w:hAnsi="Arial"/>
          <w:b/>
          <w:color w:val="000000"/>
          <w:sz w:val="24"/>
        </w:rPr>
        <w:t xml:space="preserve">• Conectividad de Red: </w:t>
      </w:r>
      <w:r>
        <w:rPr>
          <w:rFonts w:ascii="Arial" w:hAnsi="Arial"/>
          <w:color w:val="000000"/>
          <w:sz w:val="24"/>
        </w:rPr>
        <w:t>Enlace de Fibra Óptica simétrica de 300 Mbps a través de cable de red Ethernet Cat 6 conectado directamente a la tarjeta de red Gigabit integrada en la placa base, complementado con un adaptador Wi-Fi 6 de respaldo y tethering celular 4G LTE para contingencias operativas.</w:t>
      </w:r>
    </w:p>
    <w:p>
      <w:pPr>
        <w:keepNext/>
        <w:spacing w:before="280" w:after="120"/>
        <w:jc w:val="left"/>
      </w:pPr>
      <w:r>
        <w:rPr>
          <w:rFonts w:ascii="Arial" w:hAnsi="Arial"/>
          <w:b/>
          <w:color w:val="000000"/>
          <w:sz w:val="30"/>
        </w:rPr>
        <w:t>7. CONCLUSIONES</w:t>
      </w:r>
    </w:p>
    <w:p>
      <w:pPr>
        <w:spacing w:after="120" w:before="0" w:line="360" w:lineRule="auto"/>
        <w:jc w:val="both"/>
      </w:pPr>
      <w:r>
        <w:rPr>
          <w:rFonts w:ascii="Arial" w:hAnsi="Arial"/>
          <w:b w:val="0"/>
          <w:i w:val="0"/>
          <w:color w:val="000000"/>
          <w:sz w:val="24"/>
        </w:rPr>
        <w:t>1. El alistamiento riguroso y fundamentado de herramientas TIC es una competencia técnica crítica para el tecnólogo en ADSO. La correcta articulación entre hardware de alto desempeño, sistemas operativos optimizados y conectividad estable impacta directamente en la velocidad de desarrollo, la confiabilidad de las pruebas de software y el cumplimiento de los plazos de entrega.</w:t>
      </w:r>
    </w:p>
    <w:p>
      <w:pPr>
        <w:spacing w:after="120" w:before="0" w:line="360" w:lineRule="auto"/>
        <w:jc w:val="both"/>
      </w:pPr>
      <w:r>
        <w:rPr>
          <w:rFonts w:ascii="Arial" w:hAnsi="Arial"/>
          <w:b w:val="0"/>
          <w:i w:val="0"/>
          <w:color w:val="000000"/>
          <w:sz w:val="24"/>
        </w:rPr>
        <w:t>2. Las tecnologías de estado sólido basadas en el protocolo NVMe y el bus PCIe han erradicado el tradicional cuello de botella mecánico de los sistemas de cómputo, convirtiéndose en el estándar irremplazable para entornos de compilación continua, bases de datos transaccionales y virtualización de servicios.</w:t>
      </w:r>
    </w:p>
    <w:p>
      <w:pPr>
        <w:spacing w:after="120" w:before="0" w:line="360" w:lineRule="auto"/>
        <w:jc w:val="both"/>
      </w:pPr>
      <w:r>
        <w:rPr>
          <w:rFonts w:ascii="Arial" w:hAnsi="Arial"/>
          <w:b w:val="0"/>
          <w:i w:val="0"/>
          <w:color w:val="000000"/>
          <w:sz w:val="24"/>
        </w:rPr>
        <w:t>3. La comprensión de los cinco pilares del sistema operativo (procesos, memoria, archivos, E/S y seguridad) faculta al aprendiz para escribir código de software más eficiente, aprovechando la gestión de hilos, evitando fugas de memoria y estructurando arquitecturas de servicios seguras y escalables.</w:t>
      </w:r>
    </w:p>
    <w:p>
      <w:pPr>
        <w:spacing w:after="120" w:before="0" w:line="360" w:lineRule="auto"/>
        <w:jc w:val="both"/>
      </w:pPr>
      <w:r>
        <w:rPr>
          <w:rFonts w:ascii="Arial" w:hAnsi="Arial"/>
          <w:b w:val="0"/>
          <w:i w:val="0"/>
          <w:color w:val="000000"/>
          <w:sz w:val="24"/>
        </w:rPr>
        <w:t>4. En una era dominada por las arquitecturas de software distribuidas en la nube, la conectividad a Internet de banda ancha simétrica y baja latencia (como la fibra óptica) se posiciona como una herramienta de trabajo esencial que garantiza la entrega continua y la colaboración fluida en equipos de ingeniería ágiles.</w:t>
      </w:r>
    </w:p>
    <w:p>
      <w:pPr>
        <w:keepNext/>
        <w:spacing w:before="280" w:after="120"/>
        <w:jc w:val="left"/>
      </w:pPr>
      <w:r>
        <w:rPr>
          <w:rFonts w:ascii="Arial" w:hAnsi="Arial"/>
          <w:b/>
          <w:color w:val="000000"/>
          <w:sz w:val="30"/>
        </w:rPr>
        <w:t>8. REFERENCIAS BIBLIOGRÁFICAS</w:t>
      </w:r>
    </w:p>
    <w:p>
      <w:pPr>
        <w:spacing w:after="120" w:line="276" w:lineRule="auto"/>
        <w:ind w:left="720" w:hanging="720"/>
        <w:jc w:val="both"/>
      </w:pPr>
      <w:r>
        <w:rPr>
          <w:rFonts w:ascii="Arial" w:hAnsi="Arial"/>
          <w:sz w:val="22"/>
        </w:rPr>
        <w:t>Ministerio de Tecnologías de la Información y las Comunicaciones de Colombia (MinTIC). (2026). Portal institucional sobre transformación digital y conectividad nacional. https://www.mintic.gov.co</w:t>
      </w:r>
    </w:p>
    <w:p>
      <w:pPr>
        <w:spacing w:after="120" w:line="276" w:lineRule="auto"/>
        <w:ind w:left="720" w:hanging="720"/>
        <w:jc w:val="both"/>
      </w:pPr>
      <w:r>
        <w:rPr>
          <w:rFonts w:ascii="Arial" w:hAnsi="Arial"/>
          <w:sz w:val="22"/>
        </w:rPr>
        <w:t>Norton, P. (2011). Introducción a la computación (6a ed.). McGraw-Hill Interamericana.</w:t>
      </w:r>
    </w:p>
    <w:p>
      <w:pPr>
        <w:spacing w:after="120" w:line="276" w:lineRule="auto"/>
        <w:ind w:left="720" w:hanging="720"/>
        <w:jc w:val="both"/>
      </w:pPr>
      <w:r>
        <w:rPr>
          <w:rFonts w:ascii="Arial" w:hAnsi="Arial"/>
          <w:sz w:val="22"/>
        </w:rPr>
        <w:t>Servicio Nacional de Aprendizaje (SENA). (s. f.). Material de formación: Tecnologías de la Información y la Comunicación (TIC). SENA.</w:t>
      </w:r>
    </w:p>
    <w:p>
      <w:pPr>
        <w:spacing w:after="120" w:line="276" w:lineRule="auto"/>
        <w:ind w:left="720" w:hanging="720"/>
        <w:jc w:val="both"/>
      </w:pPr>
      <w:r>
        <w:rPr>
          <w:rFonts w:ascii="Arial" w:hAnsi="Arial"/>
          <w:sz w:val="22"/>
        </w:rPr>
        <w:t>Servicio Nacional de Aprendizaje (SENA). (2026). Formato guía de aprendizaje GFPI-F-135 V04. Dirección de Formación Profesional.</w:t>
      </w:r>
    </w:p>
    <w:p>
      <w:pPr>
        <w:spacing w:after="120" w:line="276" w:lineRule="auto"/>
        <w:ind w:left="720" w:hanging="720"/>
        <w:jc w:val="both"/>
      </w:pPr>
      <w:r>
        <w:rPr>
          <w:rFonts w:ascii="Arial" w:hAnsi="Arial"/>
          <w:sz w:val="22"/>
        </w:rPr>
        <w:t>Silberschatz, A., Galvin, P. B., &amp; Gagne, G. (2021). Operating system concepts (10th ed.). John Wiley &amp; Sons.</w:t>
      </w:r>
    </w:p>
    <w:p>
      <w:pPr>
        <w:spacing w:after="120" w:line="276" w:lineRule="auto"/>
        <w:ind w:left="720" w:hanging="720"/>
        <w:jc w:val="both"/>
      </w:pPr>
      <w:r>
        <w:rPr>
          <w:rFonts w:ascii="Arial" w:hAnsi="Arial"/>
          <w:sz w:val="22"/>
        </w:rPr>
        <w:t>Stallings, W. (2019). Computer organization and architecture: Designing for performance (11th ed.). Pearson Education.</w:t>
      </w:r>
    </w:p>
    <w:p>
      <w:pPr>
        <w:spacing w:after="120" w:line="276" w:lineRule="auto"/>
        <w:ind w:left="720" w:hanging="720"/>
        <w:jc w:val="both"/>
      </w:pPr>
      <w:r>
        <w:rPr>
          <w:rFonts w:ascii="Arial" w:hAnsi="Arial"/>
          <w:sz w:val="22"/>
        </w:rPr>
        <w:t>Tanenbaum, A. S., &amp; Wetherall, D. J. (2021). Computer networks (6th ed.). Pearson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