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sz w:val="28"/>
        </w:rPr>
        <w:t>SERVICIO NACIONAL DE APRENDIZAJE – SENA</w:t>
      </w:r>
    </w:p>
    <w:p>
      <w:pPr>
        <w:spacing w:after="560"/>
        <w:jc w:val="center"/>
      </w:pPr>
      <w:r>
        <w:rPr>
          <w:rFonts w:ascii="Arial" w:hAnsi="Arial"/>
          <w:b/>
          <w:sz w:val="24"/>
        </w:rPr>
        <w:t>CENTRO DE LA INDUSTRIA, LA EMPRESA Y LOS SERVICIOS (CIES)</w:t>
        <w:br/>
        <w:t>REGIONAL HUILA</w:t>
      </w:r>
    </w:p>
    <w:p>
      <w:pPr>
        <w:spacing w:after="600"/>
        <w:jc w:val="center"/>
      </w:pPr>
      <w:r>
        <w:rPr>
          <w:rFonts w:ascii="Arial" w:hAnsi="Arial"/>
          <w:b/>
          <w:sz w:val="28"/>
        </w:rPr>
        <w:t>EVIDENCIA 2</w:t>
        <w:br/>
        <w:t>DOCUMENTO PRODUCIDO CON HERRAMIENTAS OFIMÁTICAS Y PUBLICADO EN LA PLATAFORMA COLABORATIVA, CON SUSTENTACIÓN ORAL GRUPAL DEL EJE TEMÁTICO ASIGNADO</w:t>
      </w:r>
    </w:p>
    <w:p>
      <w:pPr>
        <w:spacing w:after="120" w:line="312" w:lineRule="auto"/>
        <w:jc w:val="left"/>
      </w:pPr>
    </w:p>
    <w:p>
      <w:pPr>
        <w:spacing w:after="60" w:before="0" w:line="288" w:lineRule="auto"/>
        <w:jc w:val="left"/>
      </w:pPr>
      <w:r>
        <w:rPr>
          <w:rFonts w:ascii="Arial" w:hAnsi="Arial"/>
          <w:b/>
          <w:sz w:val="22"/>
        </w:rPr>
        <w:t xml:space="preserve">Programa de Formación: </w:t>
      </w:r>
      <w:r>
        <w:rPr>
          <w:rFonts w:ascii="Arial" w:hAnsi="Arial"/>
          <w:sz w:val="22"/>
        </w:rPr>
        <w:t>Tecnólogo en Análisis y Desarrollo de Software (ADSO)</w:t>
      </w:r>
    </w:p>
    <w:p>
      <w:pPr>
        <w:spacing w:after="60" w:before="0" w:line="288" w:lineRule="auto"/>
        <w:jc w:val="left"/>
      </w:pPr>
      <w:r>
        <w:rPr>
          <w:rFonts w:ascii="Arial" w:hAnsi="Arial"/>
          <w:b/>
          <w:sz w:val="22"/>
        </w:rPr>
        <w:t xml:space="preserve">Código del Programa: </w:t>
      </w:r>
      <w:r>
        <w:rPr>
          <w:rFonts w:ascii="Arial" w:hAnsi="Arial"/>
          <w:sz w:val="22"/>
        </w:rPr>
        <w:t>228118</w:t>
      </w:r>
    </w:p>
    <w:p>
      <w:pPr>
        <w:spacing w:after="60" w:before="0" w:line="288" w:lineRule="auto"/>
        <w:jc w:val="left"/>
      </w:pPr>
      <w:r>
        <w:rPr>
          <w:rFonts w:ascii="Arial" w:hAnsi="Arial"/>
          <w:b/>
          <w:sz w:val="22"/>
        </w:rPr>
        <w:t xml:space="preserve">Número de Ficha: </w:t>
      </w:r>
      <w:r>
        <w:rPr>
          <w:rFonts w:ascii="Arial" w:hAnsi="Arial"/>
          <w:sz w:val="22"/>
        </w:rPr>
        <w:t>3413974</w:t>
      </w:r>
    </w:p>
    <w:p>
      <w:pPr>
        <w:spacing w:after="60" w:before="0" w:line="288" w:lineRule="auto"/>
        <w:jc w:val="left"/>
      </w:pPr>
      <w:r>
        <w:rPr>
          <w:rFonts w:ascii="Arial" w:hAnsi="Arial"/>
          <w:b/>
          <w:sz w:val="22"/>
        </w:rPr>
        <w:t xml:space="preserve">Proyecto Formativo: </w:t>
      </w:r>
      <w:r>
        <w:rPr>
          <w:rFonts w:ascii="Arial" w:hAnsi="Arial"/>
          <w:sz w:val="22"/>
        </w:rPr>
        <w:t>Desarrollo de software orientado a servicios V2</w:t>
      </w:r>
    </w:p>
    <w:p>
      <w:pPr>
        <w:spacing w:after="60" w:before="0" w:line="288" w:lineRule="auto"/>
        <w:jc w:val="left"/>
      </w:pPr>
      <w:r>
        <w:rPr>
          <w:rFonts w:ascii="Arial" w:hAnsi="Arial"/>
          <w:b/>
          <w:sz w:val="22"/>
        </w:rPr>
        <w:t xml:space="preserve">Fase del Proyecto: </w:t>
      </w:r>
      <w:r>
        <w:rPr>
          <w:rFonts w:ascii="Arial" w:hAnsi="Arial"/>
          <w:sz w:val="22"/>
        </w:rPr>
        <w:t>Análisis</w:t>
      </w:r>
    </w:p>
    <w:p>
      <w:pPr>
        <w:spacing w:after="60" w:before="0" w:line="288" w:lineRule="auto"/>
        <w:jc w:val="left"/>
      </w:pPr>
      <w:r>
        <w:rPr>
          <w:rFonts w:ascii="Arial" w:hAnsi="Arial"/>
          <w:b/>
          <w:sz w:val="22"/>
        </w:rPr>
        <w:t xml:space="preserve">Actividad de Proyecto: </w:t>
      </w:r>
      <w:r>
        <w:rPr>
          <w:rFonts w:ascii="Arial" w:hAnsi="Arial"/>
          <w:sz w:val="22"/>
        </w:rPr>
        <w:t>Determinar las especificaciones funcionales del software</w:t>
      </w:r>
    </w:p>
    <w:p>
      <w:pPr>
        <w:spacing w:after="60" w:before="0" w:line="288" w:lineRule="auto"/>
        <w:jc w:val="left"/>
      </w:pPr>
      <w:r>
        <w:rPr>
          <w:rFonts w:ascii="Arial" w:hAnsi="Arial"/>
          <w:b/>
          <w:sz w:val="22"/>
        </w:rPr>
        <w:t xml:space="preserve">Competencia: </w:t>
      </w:r>
      <w:r>
        <w:rPr>
          <w:rFonts w:ascii="Arial" w:hAnsi="Arial"/>
          <w:sz w:val="22"/>
        </w:rPr>
        <w:t>220501046 – Utilizar herramientas informáticas de acuerdo con las necesidades de manejo de información</w:t>
      </w:r>
    </w:p>
    <w:p>
      <w:pPr>
        <w:spacing w:after="60" w:before="0" w:line="288" w:lineRule="auto"/>
        <w:jc w:val="left"/>
      </w:pPr>
      <w:r>
        <w:rPr>
          <w:rFonts w:ascii="Arial" w:hAnsi="Arial"/>
          <w:b/>
          <w:sz w:val="22"/>
        </w:rPr>
        <w:t xml:space="preserve">Resultado de Aprendizaje: </w:t>
      </w:r>
      <w:r>
        <w:rPr>
          <w:rFonts w:ascii="Arial" w:hAnsi="Arial"/>
          <w:sz w:val="22"/>
        </w:rPr>
        <w:t>593151 – Aplicar funcionalidades de herramientas y servicios TIC, de acuerdo con manuales de uso, procedimientos establecidos y buenas prácticas.</w:t>
      </w:r>
    </w:p>
    <w:p>
      <w:pPr>
        <w:spacing w:after="60" w:before="0" w:line="288" w:lineRule="auto"/>
        <w:jc w:val="left"/>
      </w:pPr>
      <w:r>
        <w:rPr>
          <w:rFonts w:ascii="Arial" w:hAnsi="Arial"/>
          <w:b/>
          <w:sz w:val="22"/>
        </w:rPr>
        <w:t xml:space="preserve">Aprendiz: </w:t>
      </w:r>
      <w:r>
        <w:rPr>
          <w:rFonts w:ascii="Arial" w:hAnsi="Arial"/>
          <w:sz w:val="22"/>
        </w:rPr>
        <w:t>[Nombre del Aprendiz]</w:t>
      </w:r>
    </w:p>
    <w:p>
      <w:pPr>
        <w:spacing w:after="60" w:before="0" w:line="288" w:lineRule="auto"/>
        <w:jc w:val="left"/>
      </w:pPr>
      <w:r>
        <w:rPr>
          <w:rFonts w:ascii="Arial" w:hAnsi="Arial"/>
          <w:b/>
          <w:sz w:val="22"/>
        </w:rPr>
        <w:t xml:space="preserve">Instructor: </w:t>
      </w:r>
      <w:r>
        <w:rPr>
          <w:rFonts w:ascii="Arial" w:hAnsi="Arial"/>
          <w:sz w:val="22"/>
        </w:rPr>
        <w:t>Jesús Ariel González Bonilla</w:t>
      </w:r>
    </w:p>
    <w:p>
      <w:pPr>
        <w:spacing w:after="60" w:before="0" w:line="288" w:lineRule="auto"/>
        <w:jc w:val="left"/>
      </w:pPr>
      <w:r>
        <w:rPr>
          <w:rFonts w:ascii="Arial" w:hAnsi="Arial"/>
          <w:b/>
          <w:sz w:val="22"/>
        </w:rPr>
        <w:t xml:space="preserve">Lugar y Fecha: </w:t>
      </w:r>
      <w:r>
        <w:rPr>
          <w:rFonts w:ascii="Arial" w:hAnsi="Arial"/>
          <w:sz w:val="22"/>
        </w:rPr>
        <w:t>Neiva, Huila – Septiembre de 2026</w:t>
      </w:r>
    </w:p>
    <w:p>
      <w:r>
        <w:br w:type="page"/>
      </w:r>
    </w:p>
    <w:p>
      <w:pPr>
        <w:keepNext/>
        <w:spacing w:before="280" w:after="120"/>
        <w:jc w:val="left"/>
      </w:pPr>
      <w:r>
        <w:rPr>
          <w:rFonts w:ascii="Arial" w:hAnsi="Arial"/>
          <w:b/>
          <w:color w:val="000000"/>
          <w:sz w:val="30"/>
        </w:rPr>
        <w:t>INTRODUCCIÓN</w:t>
      </w:r>
    </w:p>
    <w:p>
      <w:pPr>
        <w:spacing w:after="120" w:before="0" w:line="360" w:lineRule="auto"/>
        <w:jc w:val="both"/>
      </w:pPr>
      <w:r>
        <w:rPr>
          <w:rFonts w:ascii="Arial" w:hAnsi="Arial"/>
          <w:b w:val="0"/>
          <w:i w:val="0"/>
          <w:color w:val="000000"/>
          <w:sz w:val="24"/>
        </w:rPr>
        <w:t>En la industria del desarrollo de software, la calidad de un sistema informático depende directamente de la claridad, precisión y trazabilidad con la que se capturan, estructuran y gestionan sus requerimientos funcionales y no funcionales. El programa Tecnólogo en Análisis y Desarrollo de Software (ADSO) establece en su fase de Análisis la actividad de proyecto "Determinar las especificaciones funcionales del software", enmarcada en el proyecto formativo "Desarrollo de software orientado a servicios V2". Para llevar a cabo esta labor con estándares de ingeniería profesional, la aplicación avanzada de herramientas ofimáticas y el dominio de plataformas colaborativas en la nube resultan indispensables.</w:t>
      </w:r>
    </w:p>
    <w:p>
      <w:pPr>
        <w:spacing w:after="120" w:before="0" w:line="360" w:lineRule="auto"/>
        <w:jc w:val="both"/>
      </w:pPr>
      <w:r>
        <w:rPr>
          <w:rFonts w:ascii="Arial" w:hAnsi="Arial"/>
          <w:b w:val="0"/>
          <w:i w:val="0"/>
          <w:color w:val="000000"/>
          <w:sz w:val="24"/>
        </w:rPr>
        <w:t>Las herramientas ofimáticas han evolucionado desde simples utilidades de oficina hacia potentes plataformas de ingeniería documental. Los procesadores de texto estructurados permiten elaborar documentos de Especificación de Requisitos de Software (SRS) bajo normas internacionales como IEEE 830 / ISO/IEC/IEEE 29148; las hojas de cálculo técnicas posibilitan la construcción de Matrices de Trazabilidad de Requisitos (RTM), la estimación matemática de esfuerzo por puntos de historia y la priorización de funcionalidades; las herramientas de presentación facilitan la comunicación técnica con los stakeholders; y los servicios en la nube garantizan el trabajo en equipo sincrónico y asincrónico con estricto control de versiones.</w:t>
      </w:r>
    </w:p>
    <w:p>
      <w:pPr>
        <w:spacing w:after="120" w:before="0" w:line="360" w:lineRule="auto"/>
        <w:jc w:val="both"/>
      </w:pPr>
      <w:r>
        <w:rPr>
          <w:rFonts w:ascii="Arial" w:hAnsi="Arial"/>
          <w:b w:val="0"/>
          <w:i w:val="0"/>
          <w:color w:val="000000"/>
          <w:sz w:val="24"/>
        </w:rPr>
        <w:t>El presente documento consolida la aplicación integral de estas herramientas ofimáticas y servicios de Internet en torno al eje temático asignado, estructurando los artefactos documentales del proyecto formativo, delimitando los espacios formales de evidencia colaborativa para el equipo de trabajo y proveyendo un guion metodológico para la sustentación oral grupal ante el instructor.</w:t>
      </w:r>
    </w:p>
    <w:p>
      <w:pPr>
        <w:keepNext/>
        <w:spacing w:before="280" w:after="120"/>
        <w:jc w:val="left"/>
      </w:pPr>
      <w:r>
        <w:rPr>
          <w:rFonts w:ascii="Arial" w:hAnsi="Arial"/>
          <w:b/>
          <w:color w:val="000000"/>
          <w:sz w:val="30"/>
        </w:rPr>
        <w:t>1. PROCESADOR DE TEXTO: GESTIÓN FORMAL DE ESPECIFICACIONES DE SOFTWARE</w:t>
      </w:r>
    </w:p>
    <w:p>
      <w:pPr>
        <w:spacing w:after="120" w:before="0" w:line="360" w:lineRule="auto"/>
        <w:jc w:val="both"/>
      </w:pPr>
      <w:r>
        <w:rPr>
          <w:rFonts w:ascii="Arial" w:hAnsi="Arial"/>
          <w:b w:val="0"/>
          <w:i w:val="0"/>
          <w:color w:val="000000"/>
          <w:sz w:val="24"/>
        </w:rPr>
        <w:t>El procesador de texto es el instrumento primario para la estandarización documental. En el marco de ADSO, su uso trasciende la simple digitación para convertirse en un entorno de maquetación técnica donde se configuran estilos jerárquicos (Título 1, Título 2, Título 3), numeración multinivel automatizada, tablas de contenido e índices de figuras dinámicos. Esto asegura que cualquier modificación en los requerimientos se refleje coherentemente en todo el artefacto documental.</w:t>
      </w:r>
    </w:p>
    <w:p>
      <w:pPr>
        <w:keepNext/>
        <w:spacing w:before="240" w:after="80"/>
        <w:jc w:val="left"/>
      </w:pPr>
      <w:r>
        <w:rPr>
          <w:rFonts w:ascii="Arial" w:hAnsi="Arial"/>
          <w:b/>
          <w:color w:val="000000"/>
          <w:sz w:val="26"/>
        </w:rPr>
        <w:t>Estructuración del Documento de Requisitos de Software (SRS)</w:t>
      </w:r>
    </w:p>
    <w:p>
      <w:pPr>
        <w:spacing w:after="120" w:before="0" w:line="360" w:lineRule="auto"/>
        <w:jc w:val="both"/>
      </w:pPr>
      <w:r>
        <w:rPr>
          <w:rFonts w:ascii="Arial" w:hAnsi="Arial"/>
          <w:b w:val="0"/>
          <w:i w:val="0"/>
          <w:color w:val="000000"/>
          <w:sz w:val="24"/>
        </w:rPr>
        <w:t>Siguiendo el estándar IEEE 830, el procesador de textos se utiliza para modelar las especificaciones funcionales mediante tablas estructuradas de Casos de Uso e Historias de Usuario, garantizando que los programadores comprendan sin ambigüedades el alcance del sistema: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Campo de Especificación</w:t>
            </w:r>
          </w:p>
        </w:tc>
        <w:tc>
          <w:tcPr>
            <w:tcW w:type="dxa" w:w="31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Definición Técnica</w:t>
            </w:r>
          </w:p>
        </w:tc>
        <w:tc>
          <w:tcPr>
            <w:tcW w:type="dxa" w:w="432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Ejemplo Aplicado: Módulo de Autenticación de Servicios</w:t>
            </w:r>
          </w:p>
        </w:tc>
      </w:tr>
      <w:tr>
        <w:trP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Identificador Único</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Código alfanumérico estandarizado para trazabilidad.</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RF-AUT-001 / HU-01</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Nombre del Requerimiento</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Título descriptivo y conciso de la funcionalidad.</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Autenticación segura de usuarios mediante tokens JWT.</w:t>
            </w:r>
          </w:p>
        </w:tc>
      </w:tr>
      <w:tr>
        <w:trP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Actor Principal</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Rol del usuario o servicio externo que interactúa.</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Cliente Web / Aplicación Móvil / Administrador del Sistema.</w:t>
            </w:r>
          </w:p>
        </w:tc>
      </w:tr>
      <w:tr>
        <w:trP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Precondiciones</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Estado del sistema requerido antes de la ejecución.</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El usuario debe existir en la base de datos con estado 'Activo' y enviar credenciales (email y contraseña cifrada).</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Flujo Principal de Eventos</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Secuencia paso a paso de acciones exitosas.</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1. El cliente envía petición POST a /api/v1/auth/login con payload JSON.</w:t>
              <w:br/>
              <w:t>2. El microservicio valida el formato sintáctico de la petición.</w:t>
              <w:br/>
              <w:t>3. El servicio consulta el hash bcrypt en PostgreSQL.</w:t>
              <w:br/>
              <w:t>4. Se genera un token de acceso JWT firmado con expiración de 15 minutos y un Refresh Token de 7 días.</w:t>
              <w:br/>
              <w:t>5. El sistema responde con código HTTP 200 OK y entrega los tokens.</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Flujos Alternos / Excepciones</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Manejo de errores, fallos o desvíos del flujo normal.</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3a. Credenciales incorrectas: El sistema responde con HTTP 401 Unauthorized y registra el intento fallido.</w:t>
              <w:br/>
              <w:t>3b. Tres intentos consecutivos erróneos: El sistema bloquea temporalmente la cuenta por 15 minutos y emite alerta de seguridad.</w:t>
            </w:r>
          </w:p>
        </w:tc>
      </w:tr>
      <w:tr>
        <w:trP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Postcondiciones</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Estado del sistema tras la finalización exitosa.</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El usuario obtiene una sesión activa y puede acceder a los endpoints protegidos del backend adjuntando el encabezado Authorization: Bearer &lt;token&gt;.</w:t>
            </w:r>
          </w:p>
        </w:tc>
      </w:tr>
    </w:tbl>
    <w:p>
      <w:pPr>
        <w:spacing w:after="80"/>
      </w:pPr>
    </w:p>
    <w:p>
      <w:pPr>
        <w:keepNext/>
        <w:spacing w:before="280" w:after="120"/>
        <w:jc w:val="left"/>
      </w:pPr>
      <w:r>
        <w:rPr>
          <w:rFonts w:ascii="Arial" w:hAnsi="Arial"/>
          <w:b/>
          <w:color w:val="000000"/>
          <w:sz w:val="30"/>
        </w:rPr>
        <w:t>2. HOJA DE CÁLCULO: MATRIZ DE TRAZABILIDAD, ESTIMACIÓN Y ANÁLISIS</w:t>
      </w:r>
    </w:p>
    <w:p>
      <w:pPr>
        <w:spacing w:after="120" w:before="0" w:line="360" w:lineRule="auto"/>
        <w:jc w:val="both"/>
      </w:pPr>
      <w:r>
        <w:rPr>
          <w:rFonts w:ascii="Arial" w:hAnsi="Arial"/>
          <w:b w:val="0"/>
          <w:i w:val="0"/>
          <w:color w:val="000000"/>
          <w:sz w:val="24"/>
        </w:rPr>
        <w:t>La hoja de cálculo es una herramienta esencial para el análisis cuantitativo del proyecto formativo. Permite enlazar los requerimientos del cliente con los componentes de código y casos de prueba, calcular la velocidad del equipo de desarrollo mediante fórmulas automatizadas y aplicar técnicas de priorización objetivas como MoSCoW (Must, Should, Could, Won't).</w:t>
      </w:r>
    </w:p>
    <w:p>
      <w:pPr>
        <w:keepNext/>
        <w:spacing w:before="240" w:after="80"/>
        <w:jc w:val="left"/>
      </w:pPr>
      <w:r>
        <w:rPr>
          <w:rFonts w:ascii="Arial" w:hAnsi="Arial"/>
          <w:b/>
          <w:color w:val="000000"/>
          <w:sz w:val="26"/>
        </w:rPr>
        <w:t>Matriz de Trazabilidad de Requisitos (RTM - Requirements Traceability Matrix)</w:t>
      </w:r>
    </w:p>
    <w:p>
      <w:pPr>
        <w:spacing w:after="120" w:before="0" w:line="360" w:lineRule="auto"/>
        <w:jc w:val="both"/>
      </w:pPr>
      <w:r>
        <w:rPr>
          <w:rFonts w:ascii="Arial" w:hAnsi="Arial"/>
          <w:b w:val="0"/>
          <w:i w:val="0"/>
          <w:color w:val="000000"/>
          <w:sz w:val="24"/>
        </w:rPr>
        <w:t>La siguiente matriz ejemplifica la articulación entre el requerimiento del negocio, el requerimiento funcional, el módulo de software, el endpoint API desarrollado y el caso de prueba unitario/integración, utilizando funciones de búsqueda y conteo condicional:</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337"/>
        <w:gridCol w:w="1337"/>
        <w:gridCol w:w="1337"/>
        <w:gridCol w:w="1337"/>
        <w:gridCol w:w="1337"/>
        <w:gridCol w:w="1337"/>
        <w:gridCol w:w="1337"/>
      </w:tblGrid>
      <w:tr>
        <w:trPr>
          <w:tblHeade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ID Req.</w:t>
            </w:r>
          </w:p>
        </w:tc>
        <w:tc>
          <w:tcPr>
            <w:tcW w:type="dxa" w:w="288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Descripción Funcional</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Módulo / Servicio</w:t>
            </w:r>
          </w:p>
        </w:tc>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Prioridad MoSCoW</w:t>
            </w:r>
          </w:p>
        </w:tc>
        <w:tc>
          <w:tcPr>
            <w:tcW w:type="dxa" w:w="115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Puntos de Historia</w:t>
            </w:r>
          </w:p>
        </w:tc>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Estado</w:t>
            </w:r>
          </w:p>
        </w:tc>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ID Caso de Prueba</w:t>
            </w:r>
          </w:p>
        </w:tc>
      </w:tr>
      <w:tr>
        <w:trP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RF-01</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Registro y validación de usuarios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de Usuarios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Must Have (Obligatorio)</w:t>
            </w:r>
          </w:p>
        </w:tc>
        <w:tc>
          <w:tcPr>
            <w:tcW w:type="dxa" w:w="115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5</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Completado</w:t>
            </w:r>
          </w:p>
        </w:tc>
        <w:tc>
          <w:tcPr>
            <w:tcW w:type="dxa" w:w="129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CP-AUT-01</w:t>
            </w:r>
          </w:p>
        </w:tc>
      </w:tr>
      <w:tr>
        <w:trP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RF-02</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Generación y verificación de tokens JWT</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de Autenticación</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Must Have (Obligatorio)</w:t>
            </w:r>
          </w:p>
        </w:tc>
        <w:tc>
          <w:tcPr>
            <w:tcW w:type="dxa" w:w="115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8</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Completado</w:t>
            </w:r>
          </w:p>
        </w:tc>
        <w:tc>
          <w:tcPr>
            <w:tcW w:type="dxa" w:w="129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CP-AUT-02</w:t>
            </w:r>
          </w:p>
        </w:tc>
      </w:tr>
      <w:tr>
        <w:trP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RF-03</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Gestión de catálogo de servicios REST</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de Catálogo</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Must Have (Obligatorio)</w:t>
            </w:r>
          </w:p>
        </w:tc>
        <w:tc>
          <w:tcPr>
            <w:tcW w:type="dxa" w:w="115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5</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En Desarrollo</w:t>
            </w:r>
          </w:p>
        </w:tc>
        <w:tc>
          <w:tcPr>
            <w:tcW w:type="dxa" w:w="129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CP-CAT-01</w:t>
            </w:r>
          </w:p>
        </w:tc>
      </w:tr>
      <w:tr>
        <w:trP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RF-04</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Procesamiento de pagos en línea</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Transaccional</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Should Have (Deseable)</w:t>
            </w:r>
          </w:p>
        </w:tc>
        <w:tc>
          <w:tcPr>
            <w:tcW w:type="dxa" w:w="115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13</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En Desarrollo</w:t>
            </w:r>
          </w:p>
        </w:tc>
        <w:tc>
          <w:tcPr>
            <w:tcW w:type="dxa" w:w="129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CP-PAG-01</w:t>
            </w:r>
          </w:p>
        </w:tc>
      </w:tr>
      <w:tr>
        <w:trP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RF-05</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Notificaciones push en tiempo real</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de Mensajería</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Could Have (Opcional)</w:t>
            </w:r>
          </w:p>
        </w:tc>
        <w:tc>
          <w:tcPr>
            <w:tcW w:type="dxa" w:w="115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5</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Pendiente</w:t>
            </w:r>
          </w:p>
        </w:tc>
        <w:tc>
          <w:tcPr>
            <w:tcW w:type="dxa" w:w="129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CP-NOT-01</w:t>
            </w:r>
          </w:p>
        </w:tc>
      </w:tr>
      <w:tr>
        <w:trPr>
          <w:cantSplit/>
        </w:trPr>
        <w:tc>
          <w:tcPr>
            <w:tcW w:type="dxa" w:w="1296"/>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RF-06</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Reportes avanzados en formato PDF/Excel</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de Reportería</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Won't Have (Futuro)</w:t>
            </w:r>
          </w:p>
        </w:tc>
        <w:tc>
          <w:tcPr>
            <w:tcW w:type="dxa" w:w="115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8</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Postergado</w:t>
            </w:r>
          </w:p>
        </w:tc>
        <w:tc>
          <w:tcPr>
            <w:tcW w:type="dxa" w:w="129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CP-REP-01</w:t>
            </w:r>
          </w:p>
        </w:tc>
      </w:tr>
    </w:tbl>
    <w:p>
      <w:pPr>
        <w:spacing w:after="80"/>
      </w:pPr>
    </w:p>
    <w:p>
      <w:pPr>
        <w:keepNext/>
        <w:spacing w:before="240" w:after="80"/>
        <w:jc w:val="left"/>
      </w:pPr>
      <w:r>
        <w:rPr>
          <w:rFonts w:ascii="Arial" w:hAnsi="Arial"/>
          <w:b/>
          <w:color w:val="000000"/>
          <w:sz w:val="26"/>
        </w:rPr>
        <w:t>Funcionalidades y Fórmulas Avanzadas Aplicadas:</w:t>
      </w:r>
    </w:p>
    <w:p>
      <w:pPr>
        <w:pStyle w:val="ListBullet"/>
        <w:spacing w:after="80" w:before="0" w:line="276" w:lineRule="auto"/>
        <w:jc w:val="both"/>
      </w:pPr>
      <w:r>
        <w:rPr>
          <w:rFonts w:ascii="Arial" w:hAnsi="Arial"/>
          <w:b/>
          <w:color w:val="000000"/>
          <w:sz w:val="24"/>
        </w:rPr>
        <w:t xml:space="preserve">• Funciones Lógicas (SI, Y, O): </w:t>
      </w:r>
      <w:r>
        <w:rPr>
          <w:rFonts w:ascii="Arial" w:hAnsi="Arial"/>
          <w:color w:val="000000"/>
          <w:sz w:val="24"/>
        </w:rPr>
        <w:t>Utilizadas para evaluar automáticamente el cumplimiento de los criterios de aceptación. Ejemplo: =SI(Y(E2&gt;=80, F2="Aprobado"), "Listo para Despliegue", "Requiere Ajustes"), permitiendo clasificar el estado de los módulos según métricas de cobertura de pruebas unitarias.</w:t>
      </w:r>
    </w:p>
    <w:p>
      <w:pPr>
        <w:pStyle w:val="ListBullet"/>
        <w:spacing w:after="80" w:before="0" w:line="276" w:lineRule="auto"/>
        <w:jc w:val="both"/>
      </w:pPr>
      <w:r>
        <w:rPr>
          <w:rFonts w:ascii="Arial" w:hAnsi="Arial"/>
          <w:b/>
          <w:color w:val="000000"/>
          <w:sz w:val="24"/>
        </w:rPr>
        <w:t xml:space="preserve">• Funciones de Búsqueda y Referencia (BUSCARV / XLOOKUP / INDICE-COINCIDIR): </w:t>
      </w:r>
      <w:r>
        <w:rPr>
          <w:rFonts w:ascii="Arial" w:hAnsi="Arial"/>
          <w:color w:val="000000"/>
          <w:sz w:val="24"/>
        </w:rPr>
        <w:t>Permiten relacionar dinámicamente la tabla de historias de usuario con el inventario de endpoints de backend y la asignación de aprendices responsables, evitando redundancia de datos y discrepancias de nombres.</w:t>
      </w:r>
    </w:p>
    <w:p>
      <w:pPr>
        <w:pStyle w:val="ListBullet"/>
        <w:spacing w:after="80" w:before="0" w:line="276" w:lineRule="auto"/>
        <w:jc w:val="both"/>
      </w:pPr>
      <w:r>
        <w:rPr>
          <w:rFonts w:ascii="Arial" w:hAnsi="Arial"/>
          <w:b/>
          <w:color w:val="000000"/>
          <w:sz w:val="24"/>
        </w:rPr>
        <w:t xml:space="preserve">• Funciones Estadísticas Condicionales (CONTAR.SI, SUMAR.SI): </w:t>
      </w:r>
      <w:r>
        <w:rPr>
          <w:rFonts w:ascii="Arial" w:hAnsi="Arial"/>
          <w:color w:val="000000"/>
          <w:sz w:val="24"/>
        </w:rPr>
        <w:t>Permiten calcular en tiempo real el progreso del proyecto formativo: =SUMAR.SI(D2:D7, "Must Have", E2:E7) para calcular el total de puntos de historia indispensables del Sprint inicial, y =CONTAR.SI(F2:F7, "Completado") para monitorear el avance.</w:t>
      </w:r>
    </w:p>
    <w:p>
      <w:pPr>
        <w:pStyle w:val="ListBullet"/>
        <w:spacing w:after="80" w:before="0" w:line="276" w:lineRule="auto"/>
        <w:jc w:val="both"/>
      </w:pPr>
      <w:r>
        <w:rPr>
          <w:rFonts w:ascii="Arial" w:hAnsi="Arial"/>
          <w:b/>
          <w:color w:val="000000"/>
          <w:sz w:val="24"/>
        </w:rPr>
        <w:t xml:space="preserve">• Tablas Dinámicas y Gráficos: </w:t>
      </w:r>
      <w:r>
        <w:rPr>
          <w:rFonts w:ascii="Arial" w:hAnsi="Arial"/>
          <w:color w:val="000000"/>
          <w:sz w:val="24"/>
        </w:rPr>
        <w:t>Modelado dinámico para generar dashboards visuales que exponen la distribución porcentual de requerimientos por estado (Completado, En Desarrollo, Pendiente) y el porcentaje de cumplimiento de las especificaciones funcionales.</w:t>
      </w:r>
    </w:p>
    <w:p>
      <w:pPr>
        <w:keepNext/>
        <w:spacing w:before="280" w:after="120"/>
        <w:jc w:val="left"/>
      </w:pPr>
      <w:r>
        <w:rPr>
          <w:rFonts w:ascii="Arial" w:hAnsi="Arial"/>
          <w:b/>
          <w:color w:val="000000"/>
          <w:sz w:val="30"/>
        </w:rPr>
        <w:t>3. SOFTWARE DE PRESENTACIONES PARA SOCIALIZACIÓN TÉCNICA</w:t>
      </w:r>
    </w:p>
    <w:p>
      <w:pPr>
        <w:spacing w:after="120" w:before="0" w:line="360" w:lineRule="auto"/>
        <w:jc w:val="both"/>
      </w:pPr>
      <w:r>
        <w:rPr>
          <w:rFonts w:ascii="Arial" w:hAnsi="Arial"/>
          <w:b w:val="0"/>
          <w:i w:val="0"/>
          <w:color w:val="000000"/>
          <w:sz w:val="24"/>
        </w:rPr>
        <w:t>Las herramientas de presentación digital (Microsoft PowerPoint, Google Slides) son el canal idóneo para la comunicación ejecutiva y técnica con el comité evaluador, instructores y clientes. Una presentación técnica eficaz no debe sobrecargarse de texto, sino apoyarse en diagramas arquitectónicos, flujos de procesos y datos consolidados.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Criterio de Diseño</w:t>
            </w:r>
          </w:p>
        </w:tc>
        <w:tc>
          <w:tcPr>
            <w:tcW w:type="dxa" w:w="388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Mala Práctica Habitual</w:t>
            </w:r>
          </w:p>
        </w:tc>
        <w:tc>
          <w:tcPr>
            <w:tcW w:type="dxa" w:w="388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Buena Práctica Técnica Aplicada en ADSO</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Carga de Texto por Diapositiva</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Copiar párrafos extensos de la especificación técnica y leerlos literalmente ante la audiencia.</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Regla 6x6: Máximo 6 líneas por diapositiva con viñetas sintéticas que sirvan de apoyo visual mientras el aprendiz expone con solvencia verbal.</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Diagramación de Arquitectura</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Esquemas confusos sin simbología clara ni delimitación de capas del sistema.</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Diagramas limpios de bloques que ilustran la arquitectura orientada a servicios: Capa de Presentación (Frontend) -&gt; API Gateway -&gt; Microservicios -&gt; Base de Datos.</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Jerarquía Visual y Tipografía</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Uso de múltiples fuentes decorativas, colores llamativos y fondos oscuros con bajo contraste.</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Tipografía sobria y legible (Arial / Calibri), fondo blanco o neutro, alto contraste y títulos claros que guían la secuencia lógica del discurso.</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Demostración en Vivo (Demo)</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Presentar diapositivas estáticas sin mostrar la interacción real con el sistema o el código.</w:t>
            </w:r>
          </w:p>
        </w:tc>
        <w:tc>
          <w:tcPr>
            <w:tcW w:type="dxa" w:w="388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Inclusión de diapositivas puente para dar paso a la demostración técnica directa en el IDE, la consola de Swagger y la plataforma colaborativa.</w:t>
            </w:r>
          </w:p>
        </w:tc>
      </w:tr>
    </w:tbl>
    <w:p>
      <w:pPr>
        <w:spacing w:after="80"/>
      </w:pPr>
    </w:p>
    <w:p>
      <w:pPr>
        <w:keepNext/>
        <w:spacing w:before="280" w:after="120"/>
        <w:jc w:val="left"/>
      </w:pPr>
      <w:r>
        <w:rPr>
          <w:rFonts w:ascii="Arial" w:hAnsi="Arial"/>
          <w:b/>
          <w:color w:val="000000"/>
          <w:sz w:val="30"/>
        </w:rPr>
        <w:t>4. SERVICIOS DE INTERNET Y PLATAFORMAS COLABORATIVAS EN LA NUBE</w:t>
      </w:r>
    </w:p>
    <w:p>
      <w:pPr>
        <w:spacing w:after="120" w:before="0" w:line="360" w:lineRule="auto"/>
        <w:jc w:val="both"/>
      </w:pPr>
      <w:r>
        <w:rPr>
          <w:rFonts w:ascii="Arial" w:hAnsi="Arial"/>
          <w:b w:val="0"/>
          <w:i w:val="0"/>
          <w:color w:val="000000"/>
          <w:sz w:val="24"/>
        </w:rPr>
        <w:t>La integración de servicios en la nube transforma la ofimática individual en un entorno colaborativo distribuido. Los equipos de desarrollo modernos operan bajo esquemas de trabajo remoto o híbrido, donde la trazabilidad de las contribuciones, la edición concurrente y la comunicación formal son indispensables para el éxito de los proyectos.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cantSplit/>
        </w:trPr>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Servicio / Herramienta</w:t>
            </w:r>
          </w:p>
        </w:tc>
        <w:tc>
          <w:tcPr>
            <w:tcW w:type="dxa" w:w="31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Funcionalidad Técnica Central</w:t>
            </w:r>
          </w:p>
        </w:tc>
        <w:tc>
          <w:tcPr>
            <w:tcW w:type="dxa" w:w="460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Protocolos y Buenas Prácticas Aplicadas en ADSO</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Correo Electrónico Formal Corporativo</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Canal de comunicación oficial y asincrónico para acuerdos, citaciones y entrega de actas formales.</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Estructura rigurosa: Asunto claro con código de ficha y evidencia (ej. '[ADSO-3413974] Entrega Evidencia 2 - Grupo 1').</w:t>
              <w:br/>
              <w:t>• Saludo institucional, exposición clara del mensaje y despedida formal.</w:t>
              <w:br/>
              <w:t>• Firma digital con nombre, rol y datos de contacto.</w:t>
              <w:br/>
              <w:t>• Uso ético de copias (CC para supervisión, CCO para protección de datos personales según Ley 1581 de 2012).</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Almacenamiento en la Nube (Google Drive / OneDrive)</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Repositorio centralizado con sincronización en tiempo real y persistencia garantizada.</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Organización jerárquica de carpetas por fase del proyecto formativo: 01-analisis / 02-requisitos / 04-evidencias.</w:t>
              <w:br/>
              <w:t>• Configuración granular de permisos de acceso (Lector, Comentador, Editor) restringidos a cuentas institucionales.</w:t>
              <w:br/>
              <w:t>• Enlaces compartidos controlados con expiración y auditoría de descargas.</w:t>
            </w:r>
          </w:p>
        </w:tc>
      </w:tr>
      <w:tr>
        <w:trPr>
          <w:cantSplit/>
        </w:trPr>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Plataformas de Trabajo Colaborativo (Docs / Teams)</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Coautoría simultánea de artefactos documentales, hojas de cálculo y presentaciones.</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Edición concurrente con marcadores de presencia de cada aprendiz en tiempo real.</w:t>
              <w:br/>
              <w:t>• Historial de versiones nativo con marcas de tiempo (timestamp) e identificación de autores de cada modificación.</w:t>
              <w:br/>
              <w:t>• Sistema de comentarios y asignación de tareas con resolución explícita de observaciones.</w:t>
            </w:r>
          </w:p>
        </w:tc>
      </w:tr>
    </w:tbl>
    <w:p>
      <w:pPr>
        <w:spacing w:after="80"/>
      </w:pPr>
    </w:p>
    <w:p>
      <w:pPr>
        <w:keepNext/>
        <w:spacing w:before="280" w:after="120"/>
        <w:jc w:val="left"/>
      </w:pPr>
      <w:r>
        <w:rPr>
          <w:rFonts w:ascii="Arial" w:hAnsi="Arial"/>
          <w:b/>
          <w:color w:val="000000"/>
          <w:sz w:val="30"/>
        </w:rPr>
        <w:t>5. REGISTRO DE COLABORACIÓN Y EVIDENCIAS DE TRABAJO EN EQUIPO</w:t>
      </w:r>
    </w:p>
    <w:p>
      <w:pPr>
        <w:spacing w:after="120" w:before="0" w:line="360" w:lineRule="auto"/>
        <w:jc w:val="both"/>
      </w:pPr>
      <w:r>
        <w:rPr>
          <w:rFonts w:ascii="Arial" w:hAnsi="Arial"/>
          <w:b w:val="0"/>
          <w:i w:val="0"/>
          <w:color w:val="000000"/>
          <w:sz w:val="24"/>
        </w:rPr>
        <w:t>En cumplimiento de las normas pedagógicas del SENA y las directrices de la Guía de Aprendizaje, a continuación se delimitan los espacios formales de evidencia donde se certifica la participación activa de los integrantes del equipo, el acceso al repositorio en la nube y el historial verificable de coautoría:</w:t>
      </w:r>
    </w:p>
    <w:p>
      <w:pPr>
        <w:keepNext/>
        <w:spacing w:before="240" w:after="80"/>
        <w:jc w:val="left"/>
      </w:pPr>
      <w:r>
        <w:rPr>
          <w:rFonts w:ascii="Arial" w:hAnsi="Arial"/>
          <w:b/>
          <w:color w:val="000000"/>
          <w:sz w:val="26"/>
        </w:rPr>
        <w:t>A. Acceso a la Plataforma Colaborativa y Repositorio en la Nube</w:t>
      </w:r>
    </w:p>
    <w:p>
      <w:pPr>
        <w:spacing w:after="120" w:before="0" w:line="360" w:lineRule="auto"/>
        <w:jc w:val="both"/>
      </w:pPr>
      <w:r>
        <w:rPr>
          <w:rFonts w:ascii="Arial" w:hAnsi="Arial"/>
          <w:b w:val="0"/>
          <w:i w:val="0"/>
          <w:color w:val="000000"/>
          <w:sz w:val="24"/>
        </w:rPr>
        <w:t>Enlace público / institucional para verificación del documento y hoja de cálculo en la plataforma colaborativa (Google Drive / Microsoft OneDrive):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ENLACE COMPARTIDO DE LA CARPETA COLABORATIVA EN LA NUBE</w:t>
            </w:r>
          </w:p>
        </w:tc>
      </w:tr>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val="0"/>
                <w:i/>
                <w:color w:val="000000"/>
                <w:sz w:val="20"/>
              </w:rPr>
              <w:t>[INSERTE AQUÍ EL ENLACE PÚBLICO O COMPARTIDO DE LA CARPETA EN GOOGLE DRIVE O ONEDRIVE]</w:t>
              <w:br/>
              <w:br/>
              <w:t>Ejemplo formal: https://drive.google.com/drive/folders/1A2B3C4D5E6F7G8H9I0J-ADSO-FICHA-3413974?usp=sharing</w:t>
              <w:br/>
              <w:t>Estado del enlace: Permiso de 'Cualquier usuario con el enlace puede ser Lector/Comentador'.</w:t>
            </w:r>
          </w:p>
        </w:tc>
      </w:tr>
    </w:tbl>
    <w:p>
      <w:pPr>
        <w:spacing w:after="120"/>
      </w:pPr>
    </w:p>
    <w:p>
      <w:pPr>
        <w:keepNext/>
        <w:spacing w:before="240" w:after="80"/>
        <w:jc w:val="left"/>
      </w:pPr>
      <w:r>
        <w:rPr>
          <w:rFonts w:ascii="Arial" w:hAnsi="Arial"/>
          <w:b/>
          <w:color w:val="000000"/>
          <w:sz w:val="26"/>
        </w:rPr>
        <w:t>B. Registro de Integrantes del Equipo Colaborativo y Roles Asignados</w:t>
      </w:r>
    </w:p>
    <w:p>
      <w:pPr>
        <w:spacing w:after="120" w:before="0" w:line="360" w:lineRule="auto"/>
        <w:jc w:val="both"/>
      </w:pPr>
      <w:r>
        <w:rPr>
          <w:rFonts w:ascii="Arial" w:hAnsi="Arial"/>
          <w:b w:val="0"/>
          <w:i w:val="0"/>
          <w:color w:val="000000"/>
          <w:sz w:val="24"/>
        </w:rPr>
        <w:t>El trabajo colaborativo fue distribuido de manera equitativa conforme a las fortalezas de cada aprendiz en el ciclo de análisis de software: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Número</w:t>
            </w:r>
          </w:p>
        </w:tc>
        <w:tc>
          <w:tcPr>
            <w:tcW w:type="dxa" w:w="288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Nombre Completo del Aprendiz</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Rol Técnico en el Equipo</w:t>
            </w:r>
          </w:p>
        </w:tc>
        <w:tc>
          <w:tcPr>
            <w:tcW w:type="dxa" w:w="288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Responsabilidad Principal en la Evidencia</w:t>
            </w:r>
          </w:p>
        </w:tc>
        <w:tc>
          <w:tcPr>
            <w:tcW w:type="dxa" w:w="1584"/>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Firma o Validación Virtual</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1</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[Nombre del Aprendiz 1 / Coordinador]</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Líder Técnico y Documentador</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Estructuración del documento SRS en procesador de texto, control de estilos y consolidación final.</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[Firma / Aceptado Virtualmente]</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2</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[Nombre del Aprendiz 2 / Analista]</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Analista de Requerimientos</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Diseño de la Matriz de Trazabilidad (RTM) en hoja de cálculo y aplicación de fórmulas de priorización.</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[Firma / Aceptado Virtualmente]</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3</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[Nombre del Aprendiz 3 / Diseñador]</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Especialista en Presentaciones</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Creación de diapositivas técnicas de arquitectura de servicios y maquetación de flujos de interacción.</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[Firma / Aceptado Virtualmente]</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4</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[Nombre del Aprendiz 4 / Soporte]</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Administrador de Entorno Cloud</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Gestión del almacenamiento en la nube, permisos de acceso, control de versiones y auditoría de cambios.</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[Firma / Aceptado Virtualmente]</w:t>
            </w:r>
          </w:p>
        </w:tc>
      </w:tr>
    </w:tbl>
    <w:p>
      <w:pPr>
        <w:spacing w:after="80"/>
      </w:pPr>
    </w:p>
    <w:p>
      <w:pPr>
        <w:keepNext/>
        <w:spacing w:before="240" w:after="80"/>
        <w:jc w:val="left"/>
      </w:pPr>
      <w:r>
        <w:rPr>
          <w:rFonts w:ascii="Arial" w:hAnsi="Arial"/>
          <w:b/>
          <w:color w:val="000000"/>
          <w:sz w:val="26"/>
        </w:rPr>
        <w:t>C. Espacio para Capturas de Pantalla de Edición Colaborativa en la Nube</w:t>
      </w:r>
    </w:p>
    <w:p>
      <w:pPr>
        <w:spacing w:after="120" w:before="0" w:line="360" w:lineRule="auto"/>
        <w:jc w:val="both"/>
      </w:pPr>
      <w:r>
        <w:rPr>
          <w:rFonts w:ascii="Arial" w:hAnsi="Arial"/>
          <w:b w:val="0"/>
          <w:i w:val="0"/>
          <w:color w:val="000000"/>
          <w:sz w:val="24"/>
        </w:rPr>
        <w:t>A continuación se disponen los espacios formales delimitados para incrustar las evidencias gráficas que demuestran la coautoría en tiempo real, los comentarios resueltos y el historial de versiones registrado en la plataforma: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EVIDENCIA 1: CAPTURA DE PANTALLA DE EDICIÓN CONCURRENTE EN TIEMPO REAL</w:t>
            </w:r>
          </w:p>
        </w:tc>
      </w:tr>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val="0"/>
                <w:i/>
                <w:color w:val="000000"/>
                <w:sz w:val="20"/>
              </w:rPr>
              <w:br/>
              <w:br/>
              <w:t>[Pegue aquí la captura de pantalla donde se observe el documento abierto simultáneamente por los aprendices del equipo, con los cursores y avatares de presencia visibles en la parte superior derecha de Google Docs / Word Online].</w:t>
              <w:br/>
              <w:br/>
            </w:r>
          </w:p>
        </w:tc>
      </w:tr>
    </w:tbl>
    <w:p>
      <w:pPr>
        <w:spacing w:after="120"/>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EVIDENCIA 2: CAPTURA DE PANTALLA DEL HISTORIAL DE VERSIONES</w:t>
            </w:r>
          </w:p>
        </w:tc>
      </w:tr>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val="0"/>
                <w:i/>
                <w:color w:val="000000"/>
                <w:sz w:val="20"/>
              </w:rPr>
              <w:br/>
              <w:br/>
              <w:t>[Pegue aquí la captura de pantalla del panel 'Historial de versiones' de la plataforma colaborativa, donde se evidencien las fechas, horas y nombres de cada aprendiz con los cambios y aportes realizados al documento].</w:t>
              <w:br/>
              <w:br/>
            </w:r>
          </w:p>
        </w:tc>
      </w:tr>
    </w:tbl>
    <w:p>
      <w:pPr>
        <w:spacing w:after="120"/>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EVIDENCIA 3: CAPTURA DE PANTALLA DE COMENTARIOS Y DISCUSIÓN TÉCNICA</w:t>
            </w:r>
          </w:p>
        </w:tc>
      </w:tr>
      <w:tr>
        <w:tc>
          <w:tcPr>
            <w:tcW w:type="dxa" w:w="10368"/>
            <w:vAlign w:val="center"/>
            <w:tcMar>
              <w:top w:w="120" w:type="dxa"/>
              <w:bottom w:w="120" w:type="dxa"/>
              <w:left w:w="150" w:type="dxa"/>
              <w:right w:w="150" w:type="dxa"/>
            </w:tcMar>
          </w:tcPr>
          <w:p>
            <w:pPr>
              <w:spacing w:before="40" w:after="40" w:line="276" w:lineRule="auto"/>
              <w:jc w:val="center"/>
            </w:pPr>
            <w:r/>
            <w:r>
              <w:rPr>
                <w:rFonts w:ascii="Arial" w:hAnsi="Arial"/>
                <w:b w:val="0"/>
                <w:i/>
                <w:color w:val="000000"/>
                <w:sz w:val="20"/>
              </w:rPr>
              <w:br/>
              <w:br/>
              <w:t>[Pegue aquí la captura del panel de comentarios donde se aprecien observaciones, sugerencias técnicas y la resolución de acuerdos entre los miembros del equipo durante la redacción de requerimientos].</w:t>
              <w:br/>
              <w:br/>
            </w:r>
          </w:p>
        </w:tc>
      </w:tr>
    </w:tbl>
    <w:p>
      <w:pPr>
        <w:spacing w:after="120"/>
      </w:pPr>
    </w:p>
    <w:p>
      <w:pPr>
        <w:keepNext/>
        <w:spacing w:before="280" w:after="120"/>
        <w:jc w:val="left"/>
      </w:pPr>
      <w:r>
        <w:rPr>
          <w:rFonts w:ascii="Arial" w:hAnsi="Arial"/>
          <w:b/>
          <w:color w:val="000000"/>
          <w:sz w:val="30"/>
        </w:rPr>
        <w:t>6. GUION METODOLÓGICO PARA LA SUSTENTACIÓN ORAL GRUPAL</w:t>
      </w:r>
    </w:p>
    <w:p>
      <w:pPr>
        <w:spacing w:after="120" w:before="0" w:line="360" w:lineRule="auto"/>
        <w:jc w:val="both"/>
      </w:pPr>
      <w:r>
        <w:rPr>
          <w:rFonts w:ascii="Arial" w:hAnsi="Arial"/>
          <w:b w:val="0"/>
          <w:i w:val="0"/>
          <w:color w:val="000000"/>
          <w:sz w:val="24"/>
        </w:rPr>
        <w:t>La presente sección estructura el desarrollo de la sustentación oral grupal de 15 a 20 minutos de duración, diseñada para demostrar ante el instructor Jesús Ariel González Bonilla el dominio conceptual de las herramientas ofimáticas y la apropiación técnica del eje temático asignado: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Momento de Sustentación</w:t>
            </w:r>
          </w:p>
        </w:tc>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Tiempo Sugerido</w:t>
            </w:r>
          </w:p>
        </w:tc>
        <w:tc>
          <w:tcPr>
            <w:tcW w:type="dxa" w:w="201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Responsable</w:t>
            </w:r>
          </w:p>
        </w:tc>
        <w:tc>
          <w:tcPr>
            <w:tcW w:type="dxa" w:w="31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Puntos Clave a Exponer</w:t>
            </w:r>
          </w:p>
        </w:tc>
        <w:tc>
          <w:tcPr>
            <w:tcW w:type="dxa" w:w="1584"/>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Apoyo Visual / Demostración</w:t>
            </w:r>
          </w:p>
        </w:tc>
      </w:tr>
      <w:tr>
        <w:trPr>
          <w:cantSplit/>
        </w:trPr>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Momento 1:</w:t>
              <w:br/>
              <w:t>Introducción y Contextualización</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3 minutos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Aprendiz 1 (Coordinador)</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Saludo protocolario al instructor y compañeros.</w:t>
              <w:br/>
              <w:t>• Presentación de la ficha 3413974 y del proyecto formativo.</w:t>
              <w:br/>
              <w:t>• Justificación del uso de herramientas TIC en la fase de análisis de software.</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Diapositiva de Portada y Objetivos Generales.</w:t>
            </w:r>
          </w:p>
        </w:tc>
      </w:tr>
      <w:tr>
        <w:trPr>
          <w:cantSplit/>
        </w:trPr>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Momento 2:</w:t>
              <w:br/>
              <w:t>Demostración del Documento SRS y Matriz RTM</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7 minutos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Aprendiz 2 (Analista) y Aprendiz 1</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Explicación de la estructura del documento de requerimientos bajo IEEE 830.</w:t>
              <w:br/>
              <w:t>• Demostración en vivo de la hoja de cálculo: funcionamiento de fórmulas lógicas (SI), de búsqueda (XLOOKUP) y estadísticas (SUMAR.SI).</w:t>
              <w:br/>
              <w:t>• Análisis de la matriz de trazabilidad y priorización MoSCoW.</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Pantalla compartida de la Hoja de Cálculo dinámica y del procesador de texto con estilos automatizados.</w:t>
            </w:r>
          </w:p>
        </w:tc>
      </w:tr>
      <w:tr>
        <w:trPr>
          <w:cantSplit/>
        </w:trPr>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Momento 3:</w:t>
              <w:br/>
              <w:t>Entorno Colaborativo y Control de Versiones</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4 minutos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Aprendiz 3 y Aprendiz 4</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Exposición de la estructura de carpetas en la nube.</w:t>
              <w:br/>
              <w:t>• Demostración del historial de versiones y política de respaldo.</w:t>
              <w:br/>
              <w:t>• Protocolo de comunicación formal mediante correo electrónico corporativo y resolución de conflictos de edición.</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Pantalla compartida de Google Drive / OneDrive con auditoría de cambios y gestión de permisos.</w:t>
            </w:r>
          </w:p>
        </w:tc>
      </w:tr>
      <w:tr>
        <w:trPr>
          <w:cantSplit/>
        </w:trPr>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Momento 4:</w:t>
              <w:br/>
              <w:t>Conclusiones y Preguntas del Instructor</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6 minutos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Todo el Equipo de Trabajo</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Conclusiones sobre la optimización del tiempo y la calidad documental mediante ofimática avanzada.</w:t>
              <w:br/>
              <w:t>• Atención y respuesta argumentada a preguntas técnicas formuladas por el instructor sobre las herramientas y el código de la competencia.</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Diapositiva de Cierre y Ronda de Preguntas Técnicas.</w:t>
            </w:r>
          </w:p>
        </w:tc>
      </w:tr>
    </w:tbl>
    <w:p>
      <w:pPr>
        <w:spacing w:after="80"/>
      </w:pPr>
    </w:p>
    <w:p>
      <w:pPr>
        <w:keepNext/>
        <w:spacing w:before="240" w:after="80"/>
        <w:jc w:val="left"/>
      </w:pPr>
      <w:r>
        <w:rPr>
          <w:rFonts w:ascii="Arial" w:hAnsi="Arial"/>
          <w:b/>
          <w:color w:val="000000"/>
          <w:sz w:val="26"/>
        </w:rPr>
        <w:t>Criterios de Evaluación y Rúbrica de Sustentación:</w:t>
      </w:r>
    </w:p>
    <w:p>
      <w:pPr>
        <w:pStyle w:val="ListBullet"/>
        <w:spacing w:after="80" w:before="0" w:line="276" w:lineRule="auto"/>
        <w:jc w:val="both"/>
      </w:pPr>
      <w:r>
        <w:rPr>
          <w:rFonts w:ascii="Arial" w:hAnsi="Arial"/>
          <w:b/>
          <w:color w:val="000000"/>
          <w:sz w:val="24"/>
        </w:rPr>
        <w:t xml:space="preserve">• Dominio Conceptual y Vocabulario Técnico: </w:t>
      </w:r>
      <w:r>
        <w:rPr>
          <w:rFonts w:ascii="Arial" w:hAnsi="Arial"/>
          <w:color w:val="000000"/>
          <w:sz w:val="24"/>
        </w:rPr>
        <w:t>Capacidad para explicar con precisión términos como interfaz, trazabilidad, fórmulas dinámicas, almacenamiento en la nube, permisos y protocolos de comunicación.</w:t>
      </w:r>
    </w:p>
    <w:p>
      <w:pPr>
        <w:pStyle w:val="ListBullet"/>
        <w:spacing w:after="80" w:before="0" w:line="276" w:lineRule="auto"/>
        <w:jc w:val="both"/>
      </w:pPr>
      <w:r>
        <w:rPr>
          <w:rFonts w:ascii="Arial" w:hAnsi="Arial"/>
          <w:b/>
          <w:color w:val="000000"/>
          <w:sz w:val="24"/>
        </w:rPr>
        <w:t xml:space="preserve">• Fluidez y Claridad Verbal: </w:t>
      </w:r>
      <w:r>
        <w:rPr>
          <w:rFonts w:ascii="Arial" w:hAnsi="Arial"/>
          <w:color w:val="000000"/>
          <w:sz w:val="24"/>
        </w:rPr>
        <w:t>Expresión oral ordenada, tono de voz adecuado y capacidad de síntesis para ceñirse a los tiempos asignados.</w:t>
      </w:r>
    </w:p>
    <w:p>
      <w:pPr>
        <w:pStyle w:val="ListBullet"/>
        <w:spacing w:after="80" w:before="0" w:line="276" w:lineRule="auto"/>
        <w:jc w:val="both"/>
      </w:pPr>
      <w:r>
        <w:rPr>
          <w:rFonts w:ascii="Arial" w:hAnsi="Arial"/>
          <w:b/>
          <w:color w:val="000000"/>
          <w:sz w:val="24"/>
        </w:rPr>
        <w:t xml:space="preserve">• Trabajo en Equipo y Cohesión: </w:t>
      </w:r>
      <w:r>
        <w:rPr>
          <w:rFonts w:ascii="Arial" w:hAnsi="Arial"/>
          <w:color w:val="000000"/>
          <w:sz w:val="24"/>
        </w:rPr>
        <w:t>Participación balanceada de todos los aprendices del grupo, evidenciando conocimiento integral del trabajo sin delegación aislada.</w:t>
      </w:r>
    </w:p>
    <w:p>
      <w:pPr>
        <w:pStyle w:val="ListBullet"/>
        <w:spacing w:after="80" w:before="0" w:line="276" w:lineRule="auto"/>
        <w:jc w:val="both"/>
      </w:pPr>
      <w:r>
        <w:rPr>
          <w:rFonts w:ascii="Arial" w:hAnsi="Arial"/>
          <w:b/>
          <w:color w:val="000000"/>
          <w:sz w:val="24"/>
        </w:rPr>
        <w:t xml:space="preserve">• Calidad de la Demostración Práctica: </w:t>
      </w:r>
      <w:r>
        <w:rPr>
          <w:rFonts w:ascii="Arial" w:hAnsi="Arial"/>
          <w:color w:val="000000"/>
          <w:sz w:val="24"/>
        </w:rPr>
        <w:t>Demostración ágil de las funcionalidades de las herramientas ofimáticas y navegación efectiva por la plataforma colaborativa.</w:t>
      </w:r>
    </w:p>
    <w:p>
      <w:pPr>
        <w:keepNext/>
        <w:spacing w:before="280" w:after="120"/>
        <w:jc w:val="left"/>
      </w:pPr>
      <w:r>
        <w:rPr>
          <w:rFonts w:ascii="Arial" w:hAnsi="Arial"/>
          <w:b/>
          <w:color w:val="000000"/>
          <w:sz w:val="30"/>
        </w:rPr>
        <w:t>7. CONCLUSIONES</w:t>
      </w:r>
    </w:p>
    <w:p>
      <w:pPr>
        <w:spacing w:after="120" w:before="0" w:line="360" w:lineRule="auto"/>
        <w:jc w:val="both"/>
      </w:pPr>
      <w:r>
        <w:rPr>
          <w:rFonts w:ascii="Arial" w:hAnsi="Arial"/>
          <w:b w:val="0"/>
          <w:i w:val="0"/>
          <w:color w:val="000000"/>
          <w:sz w:val="24"/>
        </w:rPr>
        <w:t>1. El uso profesional de herramientas ofimáticas constituye una base transversal indispensable en la formación del tecnólogo en ADSO, permitiendo transformar requerimientos informales del cliente en especificaciones rigurosas, verificables y trazables bajo normas internacionales de ingeniería de software.</w:t>
      </w:r>
    </w:p>
    <w:p>
      <w:pPr>
        <w:spacing w:after="120" w:before="0" w:line="360" w:lineRule="auto"/>
        <w:jc w:val="both"/>
      </w:pPr>
      <w:r>
        <w:rPr>
          <w:rFonts w:ascii="Arial" w:hAnsi="Arial"/>
          <w:b w:val="0"/>
          <w:i w:val="0"/>
          <w:color w:val="000000"/>
          <w:sz w:val="24"/>
        </w:rPr>
        <w:t>2. La hoja de cálculo técnica es una herramienta de análisis cuantitativo insustituible para el análisis de requerimientos, ya que sus fórmulas lógicas, funciones de búsqueda y tablas dinámicas aportan visibilidad objetiva sobre el esfuerzo, la cobertura y la prioridad del backlog del sistema.</w:t>
      </w:r>
    </w:p>
    <w:p>
      <w:pPr>
        <w:spacing w:after="120" w:before="0" w:line="360" w:lineRule="auto"/>
        <w:jc w:val="both"/>
      </w:pPr>
      <w:r>
        <w:rPr>
          <w:rFonts w:ascii="Arial" w:hAnsi="Arial"/>
          <w:b w:val="0"/>
          <w:i w:val="0"/>
          <w:color w:val="000000"/>
          <w:sz w:val="24"/>
        </w:rPr>
        <w:t>3. Las plataformas colaborativas en la nube potencian el trabajo en equipo sincrónico, eliminando la duplicidad de archivos, asegurando la trazabilidad histórica de cada aporte individual y facilitando la coautoría bajo estrictas políticas de acceso y seguridad.</w:t>
      </w:r>
    </w:p>
    <w:p>
      <w:pPr>
        <w:spacing w:after="120" w:before="0" w:line="360" w:lineRule="auto"/>
        <w:jc w:val="both"/>
      </w:pPr>
      <w:r>
        <w:rPr>
          <w:rFonts w:ascii="Arial" w:hAnsi="Arial"/>
          <w:b w:val="0"/>
          <w:i w:val="0"/>
          <w:color w:val="000000"/>
          <w:sz w:val="24"/>
        </w:rPr>
        <w:t>4. La sustentación oral estructurada prepara al aprendiz para socializar proyectos y defender decisiones técnicas ante comités evaluadores y clientes, fortaleciendo sus habilidades blandas y comunicativas para su desempeño laboral futuro.</w:t>
      </w:r>
    </w:p>
    <w:p>
      <w:pPr>
        <w:keepNext/>
        <w:spacing w:before="280" w:after="120"/>
        <w:jc w:val="left"/>
      </w:pPr>
      <w:r>
        <w:rPr>
          <w:rFonts w:ascii="Arial" w:hAnsi="Arial"/>
          <w:b/>
          <w:color w:val="000000"/>
          <w:sz w:val="30"/>
        </w:rPr>
        <w:t>8. REFERENCIAS BIBLIOGRÁFICAS</w:t>
      </w:r>
    </w:p>
    <w:p>
      <w:pPr>
        <w:spacing w:after="120" w:line="276" w:lineRule="auto"/>
        <w:ind w:left="720" w:hanging="720"/>
        <w:jc w:val="both"/>
      </w:pPr>
      <w:r>
        <w:rPr>
          <w:rFonts w:ascii="Arial" w:hAnsi="Arial"/>
          <w:sz w:val="22"/>
        </w:rPr>
        <w:t>IEEE Computer Society. (1998). IEEE Recommended Practice for Software Requirements Specifications (IEEE Std 830-1998). IEEE.</w:t>
      </w:r>
    </w:p>
    <w:p>
      <w:pPr>
        <w:spacing w:after="120" w:line="276" w:lineRule="auto"/>
        <w:ind w:left="720" w:hanging="720"/>
        <w:jc w:val="both"/>
      </w:pPr>
      <w:r>
        <w:rPr>
          <w:rFonts w:ascii="Arial" w:hAnsi="Arial"/>
          <w:sz w:val="22"/>
        </w:rPr>
        <w:t>ISO/IEC/IEEE. (2018). Systems and software engineering — Life cycle processes — Requirements engineering (ISO/IEC/IEEE 29148:2018). ISO.</w:t>
      </w:r>
    </w:p>
    <w:p>
      <w:pPr>
        <w:spacing w:after="120" w:line="276" w:lineRule="auto"/>
        <w:ind w:left="720" w:hanging="720"/>
        <w:jc w:val="both"/>
      </w:pPr>
      <w:r>
        <w:rPr>
          <w:rFonts w:ascii="Arial" w:hAnsi="Arial"/>
          <w:sz w:val="22"/>
        </w:rPr>
        <w:t>Microsoft Corporation. (2026). Documentación oficial y buenas prácticas de colaboración en Microsoft 365. https://learn.microsoft.com</w:t>
      </w:r>
    </w:p>
    <w:p>
      <w:pPr>
        <w:spacing w:after="120" w:line="276" w:lineRule="auto"/>
        <w:ind w:left="720" w:hanging="720"/>
        <w:jc w:val="both"/>
      </w:pPr>
      <w:r>
        <w:rPr>
          <w:rFonts w:ascii="Arial" w:hAnsi="Arial"/>
          <w:sz w:val="22"/>
        </w:rPr>
        <w:t>Norton, P. (2011). Introducción a la computación (6a ed.). McGraw-Hill Interamericana.</w:t>
      </w:r>
    </w:p>
    <w:p>
      <w:pPr>
        <w:spacing w:after="120" w:line="276" w:lineRule="auto"/>
        <w:ind w:left="720" w:hanging="720"/>
        <w:jc w:val="both"/>
      </w:pPr>
      <w:r>
        <w:rPr>
          <w:rFonts w:ascii="Arial" w:hAnsi="Arial"/>
          <w:sz w:val="22"/>
        </w:rPr>
        <w:t>Servicio Nacional de Aprendizaje (SENA). (s. f.). Material de formación: Tecnologías de la Información y la Comunicación (TIC). SENA.</w:t>
      </w:r>
    </w:p>
    <w:p>
      <w:pPr>
        <w:spacing w:after="120" w:line="276" w:lineRule="auto"/>
        <w:ind w:left="720" w:hanging="720"/>
        <w:jc w:val="both"/>
      </w:pPr>
      <w:r>
        <w:rPr>
          <w:rFonts w:ascii="Arial" w:hAnsi="Arial"/>
          <w:sz w:val="22"/>
        </w:rPr>
        <w:t>Servicio Nacional de Aprendizaje (SENA). (2026). Formato guía de aprendizaje GFPI-F-135 V04. Dirección de Formación Profesional.</w:t>
      </w:r>
    </w:p>
    <w:p>
      <w:pPr>
        <w:spacing w:after="120" w:line="276" w:lineRule="auto"/>
        <w:ind w:left="720" w:hanging="720"/>
        <w:jc w:val="both"/>
      </w:pPr>
      <w:r>
        <w:rPr>
          <w:rFonts w:ascii="Arial" w:hAnsi="Arial"/>
          <w:sz w:val="22"/>
        </w:rPr>
        <w:t>Silberschatz, A., Galvin, P. B., &amp; Gagne, G. (2021). Operating system concepts (10th ed.). John Wiley &amp; 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