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sz w:val="28"/>
        </w:rPr>
        <w:t>SERVICIO NACIONAL DE APRENDIZAJE – SENA</w:t>
      </w:r>
    </w:p>
    <w:p>
      <w:pPr>
        <w:spacing w:after="560"/>
        <w:jc w:val="center"/>
      </w:pPr>
      <w:r>
        <w:rPr>
          <w:rFonts w:ascii="Arial" w:hAnsi="Arial"/>
          <w:b/>
          <w:sz w:val="24"/>
        </w:rPr>
        <w:t>CENTRO DE LA INDUSTRIA, LA EMPRESA Y LOS SERVICIOS (CIES)</w:t>
        <w:br/>
        <w:t>REGIONAL HUILA</w:t>
      </w:r>
    </w:p>
    <w:p>
      <w:pPr>
        <w:spacing w:after="600"/>
        <w:jc w:val="center"/>
      </w:pPr>
      <w:r>
        <w:rPr>
          <w:rFonts w:ascii="Arial" w:hAnsi="Arial"/>
          <w:b/>
          <w:sz w:val="28"/>
        </w:rPr>
        <w:t>EVIDENCIA 3</w:t>
        <w:br/>
        <w:t>ENSAYO REFLEXIVO DE CINE-FORO CON LA EVALUACIÓN DE LOS RESULTADOS OBTENIDOS FRENTE A LOS REQUERIMIENTOS DEL CASO ANALIZADO</w:t>
      </w:r>
    </w:p>
    <w:p>
      <w:pPr>
        <w:spacing w:after="120" w:line="312" w:lineRule="auto"/>
        <w:jc w:val="left"/>
      </w:pPr>
    </w:p>
    <w:p>
      <w:pPr>
        <w:spacing w:after="60" w:before="0" w:line="288" w:lineRule="auto"/>
        <w:jc w:val="left"/>
      </w:pPr>
      <w:r>
        <w:rPr>
          <w:rFonts w:ascii="Arial" w:hAnsi="Arial"/>
          <w:b/>
          <w:sz w:val="22"/>
        </w:rPr>
        <w:t xml:space="preserve">Programa de Formación: </w:t>
      </w:r>
      <w:r>
        <w:rPr>
          <w:rFonts w:ascii="Arial" w:hAnsi="Arial"/>
          <w:sz w:val="22"/>
        </w:rPr>
        <w:t>Tecnólogo en Análisis y Desarrollo de Software (ADSO)</w:t>
      </w:r>
    </w:p>
    <w:p>
      <w:pPr>
        <w:spacing w:after="60" w:before="0" w:line="288" w:lineRule="auto"/>
        <w:jc w:val="left"/>
      </w:pPr>
      <w:r>
        <w:rPr>
          <w:rFonts w:ascii="Arial" w:hAnsi="Arial"/>
          <w:b/>
          <w:sz w:val="22"/>
        </w:rPr>
        <w:t xml:space="preserve">Código del Programa: </w:t>
      </w:r>
      <w:r>
        <w:rPr>
          <w:rFonts w:ascii="Arial" w:hAnsi="Arial"/>
          <w:sz w:val="22"/>
        </w:rPr>
        <w:t>228118</w:t>
      </w:r>
    </w:p>
    <w:p>
      <w:pPr>
        <w:spacing w:after="60" w:before="0" w:line="288" w:lineRule="auto"/>
        <w:jc w:val="left"/>
      </w:pPr>
      <w:r>
        <w:rPr>
          <w:rFonts w:ascii="Arial" w:hAnsi="Arial"/>
          <w:b/>
          <w:sz w:val="22"/>
        </w:rPr>
        <w:t xml:space="preserve">Número de Ficha: </w:t>
      </w:r>
      <w:r>
        <w:rPr>
          <w:rFonts w:ascii="Arial" w:hAnsi="Arial"/>
          <w:sz w:val="22"/>
        </w:rPr>
        <w:t>3413974</w:t>
      </w:r>
    </w:p>
    <w:p>
      <w:pPr>
        <w:spacing w:after="60" w:before="0" w:line="288" w:lineRule="auto"/>
        <w:jc w:val="left"/>
      </w:pPr>
      <w:r>
        <w:rPr>
          <w:rFonts w:ascii="Arial" w:hAnsi="Arial"/>
          <w:b/>
          <w:sz w:val="22"/>
        </w:rPr>
        <w:t xml:space="preserve">Proyecto Formativo: </w:t>
      </w:r>
      <w:r>
        <w:rPr>
          <w:rFonts w:ascii="Arial" w:hAnsi="Arial"/>
          <w:sz w:val="22"/>
        </w:rPr>
        <w:t>Desarrollo de software orientado a servicios V2</w:t>
      </w:r>
    </w:p>
    <w:p>
      <w:pPr>
        <w:spacing w:after="60" w:before="0" w:line="288" w:lineRule="auto"/>
        <w:jc w:val="left"/>
      </w:pPr>
      <w:r>
        <w:rPr>
          <w:rFonts w:ascii="Arial" w:hAnsi="Arial"/>
          <w:b/>
          <w:sz w:val="22"/>
        </w:rPr>
        <w:t xml:space="preserve">Fase del Proyecto: </w:t>
      </w:r>
      <w:r>
        <w:rPr>
          <w:rFonts w:ascii="Arial" w:hAnsi="Arial"/>
          <w:sz w:val="22"/>
        </w:rPr>
        <w:t>Análisis</w:t>
      </w:r>
    </w:p>
    <w:p>
      <w:pPr>
        <w:spacing w:after="60" w:before="0" w:line="288" w:lineRule="auto"/>
        <w:jc w:val="left"/>
      </w:pPr>
      <w:r>
        <w:rPr>
          <w:rFonts w:ascii="Arial" w:hAnsi="Arial"/>
          <w:b/>
          <w:sz w:val="22"/>
        </w:rPr>
        <w:t xml:space="preserve">Actividad de Proyecto: </w:t>
      </w:r>
      <w:r>
        <w:rPr>
          <w:rFonts w:ascii="Arial" w:hAnsi="Arial"/>
          <w:sz w:val="22"/>
        </w:rPr>
        <w:t>Determinar las especificaciones funcionales del software</w:t>
      </w:r>
    </w:p>
    <w:p>
      <w:pPr>
        <w:spacing w:after="60" w:before="0" w:line="288" w:lineRule="auto"/>
        <w:jc w:val="left"/>
      </w:pPr>
      <w:r>
        <w:rPr>
          <w:rFonts w:ascii="Arial" w:hAnsi="Arial"/>
          <w:b/>
          <w:sz w:val="22"/>
        </w:rPr>
        <w:t xml:space="preserve">Competencia: </w:t>
      </w:r>
      <w:r>
        <w:rPr>
          <w:rFonts w:ascii="Arial" w:hAnsi="Arial"/>
          <w:sz w:val="22"/>
        </w:rPr>
        <w:t>220501046 – Utilizar herramientas informáticas de acuerdo con las necesidades de manejo de información</w:t>
      </w:r>
    </w:p>
    <w:p>
      <w:pPr>
        <w:spacing w:after="60" w:before="0" w:line="288" w:lineRule="auto"/>
        <w:jc w:val="left"/>
      </w:pPr>
      <w:r>
        <w:rPr>
          <w:rFonts w:ascii="Arial" w:hAnsi="Arial"/>
          <w:b/>
          <w:sz w:val="22"/>
        </w:rPr>
        <w:t xml:space="preserve">Resultado de Aprendizaje: </w:t>
      </w:r>
      <w:r>
        <w:rPr>
          <w:rFonts w:ascii="Arial" w:hAnsi="Arial"/>
          <w:sz w:val="22"/>
        </w:rPr>
        <w:t>593153 – Evaluar los resultados, de acuerdo con los requerimientos.</w:t>
      </w:r>
    </w:p>
    <w:p>
      <w:pPr>
        <w:spacing w:after="60" w:before="0" w:line="288" w:lineRule="auto"/>
        <w:jc w:val="left"/>
      </w:pPr>
      <w:r>
        <w:rPr>
          <w:rFonts w:ascii="Arial" w:hAnsi="Arial"/>
          <w:b/>
          <w:sz w:val="22"/>
        </w:rPr>
        <w:t xml:space="preserve">Aprendiz: </w:t>
      </w:r>
      <w:r>
        <w:rPr>
          <w:rFonts w:ascii="Arial" w:hAnsi="Arial"/>
          <w:sz w:val="22"/>
        </w:rPr>
        <w:t>[Nombre del Aprendiz]</w:t>
      </w:r>
    </w:p>
    <w:p>
      <w:pPr>
        <w:spacing w:after="60" w:before="0" w:line="288" w:lineRule="auto"/>
        <w:jc w:val="left"/>
      </w:pPr>
      <w:r>
        <w:rPr>
          <w:rFonts w:ascii="Arial" w:hAnsi="Arial"/>
          <w:b/>
          <w:sz w:val="22"/>
        </w:rPr>
        <w:t xml:space="preserve">Instructor: </w:t>
      </w:r>
      <w:r>
        <w:rPr>
          <w:rFonts w:ascii="Arial" w:hAnsi="Arial"/>
          <w:sz w:val="22"/>
        </w:rPr>
        <w:t>Jesús Ariel González Bonilla</w:t>
      </w:r>
    </w:p>
    <w:p>
      <w:pPr>
        <w:spacing w:after="60" w:before="0" w:line="288" w:lineRule="auto"/>
        <w:jc w:val="left"/>
      </w:pPr>
      <w:r>
        <w:rPr>
          <w:rFonts w:ascii="Arial" w:hAnsi="Arial"/>
          <w:b/>
          <w:sz w:val="22"/>
        </w:rPr>
        <w:t xml:space="preserve">Lugar y Fecha: </w:t>
      </w:r>
      <w:r>
        <w:rPr>
          <w:rFonts w:ascii="Arial" w:hAnsi="Arial"/>
          <w:sz w:val="22"/>
        </w:rPr>
        <w:t>Neiva, Huila – Septiembre de 2026</w:t>
      </w:r>
    </w:p>
    <w:p>
      <w:r>
        <w:br w:type="page"/>
      </w:r>
    </w:p>
    <w:p>
      <w:pPr>
        <w:spacing w:before="240" w:after="320"/>
        <w:jc w:val="center"/>
      </w:pPr>
      <w:r>
        <w:rPr>
          <w:rFonts w:ascii="Arial" w:hAnsi="Arial"/>
          <w:b/>
          <w:sz w:val="28"/>
        </w:rPr>
        <w:t>DE LA LÍNEA DE COMANDOS A LA UBICUIDAD DIGITAL:</w:t>
        <w:br/>
        <w:t>EVALUACIÓN CRÍTICA DE LA REVOLUCIÓN DEL COMPUTADOR PERSONAL, LA INTERFAZ GRÁFICA Y EL IMPACTO CONTEMPORÁNEO DE LAS TIC</w:t>
      </w:r>
    </w:p>
    <w:p>
      <w:pPr>
        <w:keepNext/>
        <w:spacing w:before="280" w:after="120"/>
        <w:jc w:val="left"/>
      </w:pPr>
      <w:r>
        <w:rPr>
          <w:rFonts w:ascii="Arial" w:hAnsi="Arial"/>
          <w:b/>
          <w:color w:val="000000"/>
          <w:sz w:val="30"/>
        </w:rPr>
        <w:t>1. INTRODUCCIÓN</w:t>
      </w:r>
    </w:p>
    <w:p>
      <w:pPr>
        <w:spacing w:after="120" w:before="0" w:line="360" w:lineRule="auto"/>
        <w:jc w:val="both"/>
      </w:pPr>
      <w:r>
        <w:rPr>
          <w:rFonts w:ascii="Arial" w:hAnsi="Arial"/>
          <w:b w:val="0"/>
          <w:i w:val="0"/>
          <w:color w:val="000000"/>
          <w:sz w:val="24"/>
        </w:rPr>
        <w:t>La historia de la computación es, en esencia, la historia de una constante búsqueda por cerrar la brecha comunicativa entre la mente humana y la máquina digital. A mediados del siglo XX, las computadoras eran artefactos gigantescos, costosos y hostiles, relegados a instalaciones militares, corporaciones multinacionales y centros de investigación avanzada. Operar un computador exigía un conocimiento especializado de tarjetas perforadas o la memorización estricta de códigos en pantallas oscuras mediante Interfaces de Línea de Comandos (CLI). En este paradigma, el ser humano debía doblegar su lenguaje natural y adaptarse a la lógica binaria del procesador, reservando el poder del cómputo a una reducida élite técnica.</w:t>
      </w:r>
    </w:p>
    <w:p>
      <w:pPr>
        <w:spacing w:after="120" w:before="0" w:line="360" w:lineRule="auto"/>
        <w:jc w:val="both"/>
      </w:pPr>
      <w:r>
        <w:rPr>
          <w:rFonts w:ascii="Arial" w:hAnsi="Arial"/>
          <w:b w:val="0"/>
          <w:i w:val="0"/>
          <w:color w:val="000000"/>
          <w:sz w:val="24"/>
        </w:rPr>
        <w:t>El cine-foro realizado alrededor de la génesis del computador personal y la interfaz gráfica de usuario (GUI) —inmortalizada en documentales históricos y dramatizaciones como Pirates of Silicon Valley y los registros de Xerox PARC— expone el momento cumbre en que un grupo de visionarios decidió desafiar el dogma establecido: el computador no debía ser un instrumento exclusivo de cálculo corporativo, sino una herramienta de amplificación intelectual para el ciudadano común. La tesis central de este ensayo sostiene que la interfaz gráfica y el computador personal no fueron simples innovaciones mercantiles, sino una profunda revolución epistemológica orientada a resolver un requerimiento humano fundamental: la democratización del acceso al conocimiento. A través de una evaluación rigurosa, se analizará si los resultados tecnológicos alcanzados correspondieron efectivamente a las necesidades originales que los engendraron, contrastando dicho legado con el impacto contemporáneo de las TIC en la vida cotidiana, la salud, la educación y el transporte, y extrayendo lecciones esenciales para el aprendiz del programa Tecnólogo en Análisis y Desarrollo de Software (ADSO).</w:t>
      </w:r>
    </w:p>
    <w:p>
      <w:pPr>
        <w:keepNext/>
        <w:spacing w:before="280" w:after="120"/>
        <w:jc w:val="left"/>
      </w:pPr>
      <w:r>
        <w:rPr>
          <w:rFonts w:ascii="Arial" w:hAnsi="Arial"/>
          <w:b/>
          <w:color w:val="000000"/>
          <w:sz w:val="30"/>
        </w:rPr>
        <w:t>2. DESARROLLO DEL CASO HISTÓRICO: LA GÉNESIS DE LA INTERACCIÓN HUMANO-COMPUTADOR</w:t>
      </w:r>
    </w:p>
    <w:p>
      <w:pPr>
        <w:spacing w:after="120" w:before="0" w:line="360" w:lineRule="auto"/>
        <w:jc w:val="both"/>
      </w:pPr>
      <w:r>
        <w:rPr>
          <w:rFonts w:ascii="Arial" w:hAnsi="Arial"/>
          <w:b w:val="0"/>
          <w:i w:val="0"/>
          <w:color w:val="000000"/>
          <w:sz w:val="24"/>
        </w:rPr>
        <w:t>Para comprender el origen de la interfaz gráfica es indispensable remontarse a 1968, cuando el ingeniero Douglas Engelbart protagonizó la célebre demostración pública conocida históricamente como 'La madre de todas las demos' (The Mother of All Demos). Engelbart presentó por primera vez el ratón informático (mouse), el procesamiento de texto interactivo, el hipertexto y las ventanas múltiples en pantalla. La necesidad originaria no era técnica sino cognitiva: ¿cómo puede la tecnología ayudar al ser humano a resolver problemas cada vez más complejos? La respuesta residía en transformar la pantalla en un espacio de trabajo manipulable visualmente.</w:t>
      </w:r>
    </w:p>
    <w:p>
      <w:pPr>
        <w:spacing w:after="120" w:before="0" w:line="360" w:lineRule="auto"/>
        <w:jc w:val="both"/>
      </w:pPr>
      <w:r>
        <w:rPr>
          <w:rFonts w:ascii="Arial" w:hAnsi="Arial"/>
          <w:b w:val="0"/>
          <w:i w:val="0"/>
          <w:color w:val="000000"/>
          <w:sz w:val="24"/>
        </w:rPr>
        <w:t>Esta visión germinal fue acogida y financiada durante la década de 1970 por el Centro de Investigación de Xerox en Palo Alto (Xerox PARC). Científicos de la talla de Alan Kay, Butler Lampson y Dan Ingalls concibieron el Xerox Alto, un sistema que consolidó el paradigma WIMP (Windows, Icons, Menus, Pointer). En Xerox PARC se formularon las metáforas que hoy gobiernan el software: la noción de un 'escritorio' virtual sobre el que reposan 'hojas de papel' y 'carpetas', el cursor como extensión de la mano humana, y el principio WYSIWYG (What You See Is What You Get) para la edición e impresión electrónica de documentos. No obstante, la dirección corporativa de Xerox, enfocada en su lucrativo negocio de fotocopiadoras físicas, fue incapaz de dimensionar el requerimiento que tenían en sus manos y jamás lanzó el producto a gran escala comercial.</w:t>
      </w:r>
    </w:p>
    <w:p>
      <w:pPr>
        <w:spacing w:after="120" w:before="0" w:line="360" w:lineRule="auto"/>
        <w:jc w:val="both"/>
      </w:pPr>
      <w:r>
        <w:rPr>
          <w:rFonts w:ascii="Arial" w:hAnsi="Arial"/>
          <w:b w:val="0"/>
          <w:i w:val="0"/>
          <w:color w:val="000000"/>
          <w:sz w:val="24"/>
        </w:rPr>
        <w:t>El punto de inflexión histórica ocurrió a finales de 1979, cuando Steve Jobs y un grupo de ingenieros de Apple Computer visitaron Xerox PARC. Jobs comprendió inmediatamente lo que Xerox había despreciado: que la interfaz gráfica era el único puente posible para hacer del computador un electrodoméstico universal. El equipo de Apple refinó los conceptos rudimentarios de Xerox, introdujo menús desplegables simplificados, un ratón de un solo botón de bajo costo y diseñó una tipografía proporcional estética. El lanzamiento del Apple Macintosh en enero de 1984, respaldado por su mítico comercial que desafiaba el totalitarismo burocrático de IBM, materializó el concepto de computador personal intuitivo.</w:t>
      </w:r>
    </w:p>
    <w:p>
      <w:pPr>
        <w:spacing w:after="120" w:before="0" w:line="360" w:lineRule="auto"/>
        <w:jc w:val="both"/>
      </w:pPr>
      <w:r>
        <w:rPr>
          <w:rFonts w:ascii="Arial" w:hAnsi="Arial"/>
          <w:b w:val="0"/>
          <w:i w:val="0"/>
          <w:color w:val="000000"/>
          <w:sz w:val="24"/>
        </w:rPr>
        <w:t>De manera paralela y estratégica, Bill Gates y Microsoft comprendieron que para democratizar verdaderamente la tecnología, el software debía ser independiente del hardware. Mientras Apple comercializaba una plataforma cerrada y costosa, Microsoft desarrolló Windows como una capa gráfica sobre el sistema operativo MS-DOS para ejecutarse en la arquitectura abierta y clonable de los computadores personales IBM PC. Pese a las disputas legales sobre la propiedad intelectual de la interfaz gráfica, el enfrentamiento tecnológico entre Apple y Microsoft terminó masificando la GUI en millones de hogares, escuelas y empresas alrededor del mundo.</w:t>
      </w:r>
    </w:p>
    <w:p>
      <w:pPr>
        <w:keepNext/>
        <w:spacing w:before="280" w:after="120"/>
        <w:jc w:val="left"/>
      </w:pPr>
      <w:r>
        <w:rPr>
          <w:rFonts w:ascii="Arial" w:hAnsi="Arial"/>
          <w:b/>
          <w:color w:val="000000"/>
          <w:sz w:val="30"/>
        </w:rPr>
        <w:t>3. EVALUACIÓN CRÍTICA: RESULTADOS OBTENIDOS FRENTE A LOS REQUERIMIENTOS ORIGINALES</w:t>
      </w:r>
    </w:p>
    <w:p>
      <w:pPr>
        <w:spacing w:after="120" w:before="0" w:line="360" w:lineRule="auto"/>
        <w:jc w:val="both"/>
      </w:pPr>
      <w:r>
        <w:rPr>
          <w:rFonts w:ascii="Arial" w:hAnsi="Arial"/>
          <w:b w:val="0"/>
          <w:i w:val="0"/>
          <w:color w:val="000000"/>
          <w:sz w:val="24"/>
        </w:rPr>
        <w:t>Al evaluar críticamente el caso histórico desde la perspectiva del Análisis de Requisitos de Software, es preciso plantear la pregunta fundamental: ¿los resultados obtenidos respondieron con fidelidad a las necesidades que les dieron origen? La respuesta no es lineal ni unívoca; encierra profundos aciertos y notables compromisos técnicos.</w:t>
      </w:r>
    </w:p>
    <w:p>
      <w:pPr>
        <w:spacing w:after="120" w:before="0" w:line="360" w:lineRule="auto"/>
        <w:jc w:val="both"/>
      </w:pPr>
      <w:r>
        <w:rPr>
          <w:rFonts w:ascii="Arial" w:hAnsi="Arial"/>
          <w:b w:val="0"/>
          <w:i w:val="0"/>
          <w:color w:val="000000"/>
          <w:sz w:val="24"/>
        </w:rPr>
        <w:t>Por un lado, el requerimiento principal —reducir la curva de aprendizaje y permitir que cualquier ciudadano sin conocimientos de programación pudiera redactar un documento, gestionar sus finanzas o comunicarse digitalmente— fue cumplido con un éxito arrollador. La interfaz gráfica sustituyó la memoria de comandos abstractos (como 'FORMAT C:', 'DIR /W' o 'grep') por el reconocimiento visual directo. La metáfora de arrastrar un archivo a una papelera de reciclaje o pulsar un botón con la figura de una tijera para cortar texto se apoyó en el mapa mental cotidiano del usuario, logrando que el computador se convirtiera en un producto de consumo masivo y en el motor de la economía global.</w:t>
      </w:r>
    </w:p>
    <w:p>
      <w:pPr>
        <w:spacing w:after="120" w:before="0" w:line="360" w:lineRule="auto"/>
        <w:jc w:val="both"/>
      </w:pPr>
      <w:r>
        <w:rPr>
          <w:rFonts w:ascii="Arial" w:hAnsi="Arial"/>
          <w:b w:val="0"/>
          <w:i w:val="0"/>
          <w:color w:val="000000"/>
          <w:sz w:val="24"/>
        </w:rPr>
        <w:t>No obstante, este avance técnico conllevó efectos colaterales que demandaron una continua optimización. En sus primeras versiones, la interfaz gráfica representó una sobrecarga computacional desproporcionada para el hardware de la época. Sistemas como el Apple Lisa o las primeras versiones de Windows (1.0 a 3.1) sufrían de extrema lentitud debido a que la CPU debía renderizar píxel a píxel cada ventana y fuente tipográfica sin contar con procesadores gráficos dedicados (GPU). Asimismo, muchos usuarios expertos de consola criticaron inicialmente que la GUI restaba velocidad en la automatización de tareas por lotes (scripts). Esto demostró un principio básico de la ingeniería de software: toda solución tecnológica resuelve un conjunto de necesidades a costa de introducir nuevas restricciones operativas que obligan a evolucionar el hardware y refinar el software.</w:t>
      </w:r>
    </w:p>
    <w:p>
      <w:pPr>
        <w:keepNext/>
        <w:spacing w:before="280" w:after="120"/>
        <w:jc w:val="left"/>
      </w:pPr>
      <w:r>
        <w:rPr>
          <w:rFonts w:ascii="Arial" w:hAnsi="Arial"/>
          <w:b/>
          <w:color w:val="000000"/>
          <w:sz w:val="30"/>
        </w:rPr>
        <w:t>4. ANÁLISIS DEL IMPACTO CONTEMPORÁNEO DE LAS TIC EN LA SOCIEDAD</w:t>
      </w:r>
    </w:p>
    <w:p>
      <w:pPr>
        <w:spacing w:after="120" w:before="0" w:line="360" w:lineRule="auto"/>
        <w:jc w:val="both"/>
      </w:pPr>
      <w:r>
        <w:rPr>
          <w:rFonts w:ascii="Arial" w:hAnsi="Arial"/>
          <w:b w:val="0"/>
          <w:i w:val="0"/>
          <w:color w:val="000000"/>
          <w:sz w:val="24"/>
        </w:rPr>
        <w:t>Aquel salto seminal desde la consola de comandos hacia el entorno visual sentó las bases de la sociedad digital hiperconectada actual. Las Tecnologías de la Información y la Comunicación han permeado la estructura de la civilización moderna, transformando de raíz cuatro áreas nodales:</w:t>
      </w:r>
    </w:p>
    <w:p>
      <w:pPr>
        <w:keepNext/>
        <w:spacing w:before="240" w:after="80"/>
        <w:jc w:val="left"/>
      </w:pPr>
      <w:r>
        <w:rPr>
          <w:rFonts w:ascii="Arial" w:hAnsi="Arial"/>
          <w:b/>
          <w:color w:val="000000"/>
          <w:sz w:val="26"/>
        </w:rPr>
        <w:t>4.1 Impacto en la Vida Cotidiana y Social:</w:t>
      </w:r>
    </w:p>
    <w:p>
      <w:pPr>
        <w:spacing w:after="120" w:before="0" w:line="360" w:lineRule="auto"/>
        <w:jc w:val="both"/>
      </w:pPr>
      <w:r>
        <w:rPr>
          <w:rFonts w:ascii="Arial" w:hAnsi="Arial"/>
          <w:b w:val="0"/>
          <w:i w:val="0"/>
          <w:color w:val="000000"/>
          <w:sz w:val="24"/>
        </w:rPr>
        <w:t>El computador personal evolucionó hacia el smartphone y los dispositivos vestibles (wearables), haciendo de la computación un fenómeno ubicuo e invisible. En la actualidad, tareas cotidianas como la gestión bancaria, las compras domésticas, el pago de servicios públicos, el entretenimiento interactivo y la comunicación familiar instantánea a miles de kilómetros dependen de infraestructuras TIC. Sin embargo, este avance ha originado desafíos críticos: la sobreexposición digital, la vulnerabilidad de la privacidad personal frente a modelos de monetización de datos y la necesidad ineludible de políticas éticas de ciberseguridad y protección de datos personales.</w:t>
      </w:r>
    </w:p>
    <w:p>
      <w:pPr>
        <w:keepNext/>
        <w:spacing w:before="240" w:after="80"/>
        <w:jc w:val="left"/>
      </w:pPr>
      <w:r>
        <w:rPr>
          <w:rFonts w:ascii="Arial" w:hAnsi="Arial"/>
          <w:b/>
          <w:color w:val="000000"/>
          <w:sz w:val="26"/>
        </w:rPr>
        <w:t>4.2 Impacto en el Sector Salud y Bienestar:</w:t>
      </w:r>
    </w:p>
    <w:p>
      <w:pPr>
        <w:spacing w:after="120" w:before="0" w:line="360" w:lineRule="auto"/>
        <w:jc w:val="both"/>
      </w:pPr>
      <w:r>
        <w:rPr>
          <w:rFonts w:ascii="Arial" w:hAnsi="Arial"/>
          <w:b w:val="0"/>
          <w:i w:val="0"/>
          <w:color w:val="000000"/>
          <w:sz w:val="24"/>
        </w:rPr>
        <w:t>En el ámbito biomédico, las TIC han salvado millones de vidas al sustituir los expedientes en papel por Historias Clínicas Electrónicas (HCE) interoperables, permitiendo que un médico acceda instantáneamente a antecedentes alérgicos y diagnósticos previos de un paciente en urgencias. La telemedicina ha llevado consultas con especialistas de alta complejidad a regiones rurales apartadas del país. Asimismo, la integración de algoritmos de procesamiento de imágenes médicas (tomografías computarizadas, resonancias magnéticas) asiste a los radiólogos en la detección temprana de tumores con una precisión que supera la inspección visual tradicional.</w:t>
      </w:r>
    </w:p>
    <w:p>
      <w:pPr>
        <w:keepNext/>
        <w:spacing w:before="240" w:after="80"/>
        <w:jc w:val="left"/>
      </w:pPr>
      <w:r>
        <w:rPr>
          <w:rFonts w:ascii="Arial" w:hAnsi="Arial"/>
          <w:b/>
          <w:color w:val="000000"/>
          <w:sz w:val="26"/>
        </w:rPr>
        <w:t>4.3 Impacto en el Ámbito Educativo y la Formación:</w:t>
      </w:r>
    </w:p>
    <w:p>
      <w:pPr>
        <w:spacing w:after="120" w:before="0" w:line="360" w:lineRule="auto"/>
        <w:jc w:val="both"/>
      </w:pPr>
      <w:r>
        <w:rPr>
          <w:rFonts w:ascii="Arial" w:hAnsi="Arial"/>
          <w:b w:val="0"/>
          <w:i w:val="0"/>
          <w:color w:val="000000"/>
          <w:sz w:val="24"/>
        </w:rPr>
        <w:t>Las TIC han transformado radicalmente el acceso a la educación. Plataformas de gestión de aprendizaje virtual (LMS) como las implementadas en el SENA, repositorios abiertos de código como GitHub, bibliotecas digitales universales y aulas virtuales han democratizado la formación técnica y profesional, rompiendo barreras geográficas y socioeconómicas. El aprendizaje ya no es un evento confinado a cuatro paredes físicas, sino un proceso continuo y adaptativo donde el aprendiz gestiona su conocimiento con el apoyo de herramientas analíticas.</w:t>
      </w:r>
    </w:p>
    <w:p>
      <w:pPr>
        <w:keepNext/>
        <w:spacing w:before="240" w:after="80"/>
        <w:jc w:val="left"/>
      </w:pPr>
      <w:r>
        <w:rPr>
          <w:rFonts w:ascii="Arial" w:hAnsi="Arial"/>
          <w:b/>
          <w:color w:val="000000"/>
          <w:sz w:val="26"/>
        </w:rPr>
        <w:t>4.4 Impacto en el Transporte, Movilidad y Logística:</w:t>
      </w:r>
    </w:p>
    <w:p>
      <w:pPr>
        <w:spacing w:after="120" w:before="0" w:line="360" w:lineRule="auto"/>
        <w:jc w:val="both"/>
      </w:pPr>
      <w:r>
        <w:rPr>
          <w:rFonts w:ascii="Arial" w:hAnsi="Arial"/>
          <w:b w:val="0"/>
          <w:i w:val="0"/>
          <w:color w:val="000000"/>
          <w:sz w:val="24"/>
        </w:rPr>
        <w:t>La convergencia entre telecomunicaciones satelitales (GNSS/GPS), redes de datos móviles y algoritmos de optimización ha revolucionado el transporte mundial. Plataformas de movilidad urbana calculan en tiempo real rutas óptimas para evitar la congestión vehicular, reduciendo el consumo de combustibles fósiles y la emisión de gases de efecto invernadero. En la logística de carga, las TIC permiten rastrear telemétricamente contenedores de mercancías perecederas y medicamentos con control riguroso de temperatura, garantizando cadenas de suministro globales.</w:t>
      </w:r>
    </w:p>
    <w:p>
      <w:pPr>
        <w:keepNext/>
        <w:spacing w:before="280" w:after="120"/>
        <w:jc w:val="left"/>
      </w:pPr>
      <w:r>
        <w:rPr>
          <w:rFonts w:ascii="Arial" w:hAnsi="Arial"/>
          <w:b/>
          <w:color w:val="000000"/>
          <w:sz w:val="30"/>
        </w:rPr>
        <w:t>5. LECCIONES PARA EL ANALISTA Y DESARROLLADOR DE SOFTWARE (ADSO)</w:t>
      </w:r>
    </w:p>
    <w:p>
      <w:pPr>
        <w:spacing w:after="120" w:before="0" w:line="360" w:lineRule="auto"/>
        <w:jc w:val="both"/>
      </w:pPr>
      <w:r>
        <w:rPr>
          <w:rFonts w:ascii="Arial" w:hAnsi="Arial"/>
          <w:b w:val="0"/>
          <w:i w:val="0"/>
          <w:color w:val="000000"/>
          <w:sz w:val="24"/>
        </w:rPr>
        <w:t>Para el aprendiz del programa Tecnólogo en Análisis y Desarrollo de Software, el análisis histórico del cine-foro y la evaluación de resultados dejan lecciones profesionales imperecederas que deben guiar la actividad de proyecto "Determinar las especificaciones funcionales del software":</w:t>
      </w:r>
    </w:p>
    <w:p>
      <w:pPr>
        <w:pStyle w:val="ListBullet"/>
        <w:spacing w:after="80" w:before="0" w:line="276" w:lineRule="auto"/>
        <w:jc w:val="both"/>
      </w:pPr>
      <w:r>
        <w:rPr>
          <w:rFonts w:ascii="Arial" w:hAnsi="Arial"/>
          <w:b/>
          <w:color w:val="000000"/>
          <w:sz w:val="24"/>
        </w:rPr>
        <w:t xml:space="preserve">• Primacía de la Empatía y el Diseño Centrado en el Usuario (UCD): </w:t>
      </w:r>
      <w:r>
        <w:rPr>
          <w:rFonts w:ascii="Arial" w:hAnsi="Arial"/>
          <w:color w:val="000000"/>
          <w:sz w:val="24"/>
        </w:rPr>
        <w:t>La tecnología más avanzada es estéril si el usuario final es incapaz de operarla. Como analistas de software, el éxito de un sistema no se mide por la complejidad matemática de sus clases o la sofisticación de sus patrones de diseño, sino por la facilidad, rapidez y satisfacción con la que un usuario real resuelve una necesidad de su entorno cotidiano o laboral.</w:t>
      </w:r>
    </w:p>
    <w:p>
      <w:pPr>
        <w:pStyle w:val="ListBullet"/>
        <w:spacing w:after="80" w:before="0" w:line="276" w:lineRule="auto"/>
        <w:jc w:val="both"/>
      </w:pPr>
      <w:r>
        <w:rPr>
          <w:rFonts w:ascii="Arial" w:hAnsi="Arial"/>
          <w:b/>
          <w:color w:val="000000"/>
          <w:sz w:val="24"/>
        </w:rPr>
        <w:t xml:space="preserve">• Rigor en el Levantamiento y Validación de Requerimientos: </w:t>
      </w:r>
      <w:r>
        <w:rPr>
          <w:rFonts w:ascii="Arial" w:hAnsi="Arial"/>
          <w:color w:val="000000"/>
          <w:sz w:val="24"/>
        </w:rPr>
        <w:t>El fracaso de Xerox PARC en capitalizar sus propios inventos demuestra que no basta con crear software brillante; es indispensable alinear la solución con los requerimientos estratégicos del negocio y las condiciones reales del mercado. Toda funcionalidad codificada debe responder a un requerimiento funcional formalmente validado.</w:t>
      </w:r>
    </w:p>
    <w:p>
      <w:pPr>
        <w:pStyle w:val="ListBullet"/>
        <w:spacing w:after="80" w:before="0" w:line="276" w:lineRule="auto"/>
        <w:jc w:val="both"/>
      </w:pPr>
      <w:r>
        <w:rPr>
          <w:rFonts w:ascii="Arial" w:hAnsi="Arial"/>
          <w:b/>
          <w:color w:val="000000"/>
          <w:sz w:val="24"/>
        </w:rPr>
        <w:t xml:space="preserve">• Responsabilidad Ética frente a la Brecha Digital: </w:t>
      </w:r>
      <w:r>
        <w:rPr>
          <w:rFonts w:ascii="Arial" w:hAnsi="Arial"/>
          <w:color w:val="000000"/>
          <w:sz w:val="24"/>
        </w:rPr>
        <w:t>A medida que los servicios de software se vuelven indispensables para la vida social, el desarrollador tiene la obligación ética de construir sistemas accesibles (conforme a estándares WCAG), ligeros y tolerantes a conexiones lentas, evitando que la tecnología se convierta en una nueva barrera de exclusión social para comunidades vulnerables o personas con limitaciones físicas.</w:t>
      </w:r>
    </w:p>
    <w:p>
      <w:pPr>
        <w:pStyle w:val="ListBullet"/>
        <w:spacing w:after="80" w:before="0" w:line="276" w:lineRule="auto"/>
        <w:jc w:val="both"/>
      </w:pPr>
      <w:r>
        <w:rPr>
          <w:rFonts w:ascii="Arial" w:hAnsi="Arial"/>
          <w:b/>
          <w:color w:val="000000"/>
          <w:sz w:val="24"/>
        </w:rPr>
        <w:t xml:space="preserve">• Ciclo Continuo de Verificación y Mejora: </w:t>
      </w:r>
      <w:r>
        <w:rPr>
          <w:rFonts w:ascii="Arial" w:hAnsi="Arial"/>
          <w:color w:val="000000"/>
          <w:sz w:val="24"/>
        </w:rPr>
        <w:t>La transición desde la línea de comandos hasta las interfaces táctiles y por voz actuales demuestra que el desarrollo de software nunca concluye. La verificación constante frente a los resultados obtenidos es el único camino para optimizar los productos informáticos a lo largo del tiempo.</w:t>
      </w:r>
    </w:p>
    <w:p>
      <w:pPr>
        <w:keepNext/>
        <w:spacing w:before="280" w:after="120"/>
        <w:jc w:val="left"/>
      </w:pPr>
      <w:r>
        <w:rPr>
          <w:rFonts w:ascii="Arial" w:hAnsi="Arial"/>
          <w:b/>
          <w:color w:val="000000"/>
          <w:sz w:val="30"/>
        </w:rPr>
        <w:t>6. CONCLUSIONES</w:t>
      </w:r>
    </w:p>
    <w:p>
      <w:pPr>
        <w:spacing w:after="120" w:before="0" w:line="360" w:lineRule="auto"/>
        <w:jc w:val="both"/>
      </w:pPr>
      <w:r>
        <w:rPr>
          <w:rFonts w:ascii="Arial" w:hAnsi="Arial"/>
          <w:b w:val="0"/>
          <w:i w:val="0"/>
          <w:color w:val="000000"/>
          <w:sz w:val="24"/>
        </w:rPr>
        <w:t>1. La revolución del computador personal y la interfaz gráfica de usuario representó un cambio de paradigma civilizatorio, transformando a la informática de una disciplina esotérica reservada a especialistas en un instrumento de democratización del conocimiento y amplificación de las capacidades humanas.</w:t>
      </w:r>
    </w:p>
    <w:p>
      <w:pPr>
        <w:spacing w:after="120" w:before="0" w:line="360" w:lineRule="auto"/>
        <w:jc w:val="both"/>
      </w:pPr>
      <w:r>
        <w:rPr>
          <w:rFonts w:ascii="Arial" w:hAnsi="Arial"/>
          <w:b w:val="0"/>
          <w:i w:val="0"/>
          <w:color w:val="000000"/>
          <w:sz w:val="24"/>
        </w:rPr>
        <w:t>2. La evaluación técnica del caso demuestra que las soluciones tecnológicas exitosas son aquellas que responden con precisión a requerimientos humanos y sociales genuinos, superando las resistencias técnicas iniciales a través de la optimización y la estandarización.</w:t>
      </w:r>
    </w:p>
    <w:p>
      <w:pPr>
        <w:spacing w:after="120" w:before="0" w:line="360" w:lineRule="auto"/>
        <w:jc w:val="both"/>
      </w:pPr>
      <w:r>
        <w:rPr>
          <w:rFonts w:ascii="Arial" w:hAnsi="Arial"/>
          <w:b w:val="0"/>
          <w:i w:val="0"/>
          <w:color w:val="000000"/>
          <w:sz w:val="24"/>
        </w:rPr>
        <w:t>3. El impacto contemporáneo de las TIC en la salud, la educación, el transporte y la vida diaria evidencia que el software se ha convertido en el tejido invisible que sostiene la sociedad moderna, confiriendo al tecnólogo en ADSO una responsabilidad profesional y social de primer orden.</w:t>
      </w:r>
    </w:p>
    <w:p>
      <w:pPr>
        <w:spacing w:after="120" w:before="0" w:line="360" w:lineRule="auto"/>
        <w:jc w:val="both"/>
      </w:pPr>
      <w:r>
        <w:rPr>
          <w:rFonts w:ascii="Arial" w:hAnsi="Arial"/>
          <w:b w:val="0"/>
          <w:i w:val="0"/>
          <w:color w:val="000000"/>
          <w:sz w:val="24"/>
        </w:rPr>
        <w:t>4. Como futuros tecnólogos en desarrollo de software, el estudio de este caso histórico nos instruye a priorizar siempre la usabilidad, la accesibilidad y la verificación sistemática frente a los requerimientos del cliente, asegurando que cada línea de código construida aporte valor real y medible a la comunidad.</w:t>
      </w:r>
    </w:p>
    <w:p>
      <w:pPr>
        <w:keepNext/>
        <w:spacing w:before="280" w:after="120"/>
        <w:jc w:val="left"/>
      </w:pPr>
      <w:r>
        <w:rPr>
          <w:rFonts w:ascii="Arial" w:hAnsi="Arial"/>
          <w:b/>
          <w:color w:val="000000"/>
          <w:sz w:val="30"/>
        </w:rPr>
        <w:t>7. REFERENCIAS BIBLIOGRÁFICAS</w:t>
      </w:r>
    </w:p>
    <w:p>
      <w:pPr>
        <w:spacing w:after="120" w:line="276" w:lineRule="auto"/>
        <w:ind w:left="720" w:hanging="720"/>
        <w:jc w:val="both"/>
      </w:pPr>
      <w:r>
        <w:rPr>
          <w:rFonts w:ascii="Arial" w:hAnsi="Arial"/>
          <w:sz w:val="22"/>
        </w:rPr>
        <w:t>Engelbart, D. C. (1968). A research center for augmenting human intellect. In Proceedings of the AFIPS Fall Joint Computer Conference (Vol. 33, pp. 395-410). AFIPS Press.</w:t>
      </w:r>
    </w:p>
    <w:p>
      <w:pPr>
        <w:spacing w:after="120" w:line="276" w:lineRule="auto"/>
        <w:ind w:left="720" w:hanging="720"/>
        <w:jc w:val="both"/>
      </w:pPr>
      <w:r>
        <w:rPr>
          <w:rFonts w:ascii="Arial" w:hAnsi="Arial"/>
          <w:sz w:val="22"/>
        </w:rPr>
        <w:t>Ministerio de Tecnologías de la Información y las Comunicaciones de Colombia (MinTIC). (2026). Plan nacional de conectividad y apropiación de tecnologías de la información. https://www.mintic.gov.co</w:t>
      </w:r>
    </w:p>
    <w:p>
      <w:pPr>
        <w:spacing w:after="120" w:line="276" w:lineRule="auto"/>
        <w:ind w:left="720" w:hanging="720"/>
        <w:jc w:val="both"/>
      </w:pPr>
      <w:r>
        <w:rPr>
          <w:rFonts w:ascii="Arial" w:hAnsi="Arial"/>
          <w:sz w:val="22"/>
        </w:rPr>
        <w:t>Norton, P. (2011). Introducción a la computación (6a ed.). McGraw-Hill Interamericana.</w:t>
      </w:r>
    </w:p>
    <w:p>
      <w:pPr>
        <w:spacing w:after="120" w:line="276" w:lineRule="auto"/>
        <w:ind w:left="720" w:hanging="720"/>
        <w:jc w:val="both"/>
      </w:pPr>
      <w:r>
        <w:rPr>
          <w:rFonts w:ascii="Arial" w:hAnsi="Arial"/>
          <w:sz w:val="22"/>
        </w:rPr>
        <w:t>Servicio Nacional de Aprendizaje (SENA). (s. f.). Material de formación: Tecnologías de la Información y la Comunicación (TIC). SENA.</w:t>
      </w:r>
    </w:p>
    <w:p>
      <w:pPr>
        <w:spacing w:after="120" w:line="276" w:lineRule="auto"/>
        <w:ind w:left="720" w:hanging="720"/>
        <w:jc w:val="both"/>
      </w:pPr>
      <w:r>
        <w:rPr>
          <w:rFonts w:ascii="Arial" w:hAnsi="Arial"/>
          <w:sz w:val="22"/>
        </w:rPr>
        <w:t>Servicio Nacional de Aprendizaje (SENA). (2026). Formato guía de aprendizaje GFPI-F-135 V04. Dirección de Formación Profesional.</w:t>
      </w:r>
    </w:p>
    <w:p>
      <w:pPr>
        <w:spacing w:after="120" w:line="276" w:lineRule="auto"/>
        <w:ind w:left="720" w:hanging="720"/>
        <w:jc w:val="both"/>
      </w:pPr>
      <w:r>
        <w:rPr>
          <w:rFonts w:ascii="Arial" w:hAnsi="Arial"/>
          <w:sz w:val="22"/>
        </w:rPr>
        <w:t>Silberschatz, A., Galvin, P. B., &amp; Gagne, G. (2021). Operating system concepts (10th ed.). John Wiley &amp; Sons.</w:t>
      </w:r>
    </w:p>
    <w:p>
      <w:pPr>
        <w:spacing w:after="120" w:line="276" w:lineRule="auto"/>
        <w:ind w:left="720" w:hanging="720"/>
        <w:jc w:val="both"/>
      </w:pPr>
      <w:r>
        <w:rPr>
          <w:rFonts w:ascii="Arial" w:hAnsi="Arial"/>
          <w:sz w:val="22"/>
        </w:rPr>
        <w:t>Stallings, W. (2019). Computer organization and architecture: Designing for performance (11th ed.). Pearson Education.</w:t>
      </w:r>
    </w:p>
    <w:p>
      <w:pPr>
        <w:spacing w:after="120" w:line="276" w:lineRule="auto"/>
        <w:ind w:left="720" w:hanging="720"/>
        <w:jc w:val="both"/>
      </w:pPr>
      <w:r>
        <w:rPr>
          <w:rFonts w:ascii="Arial" w:hAnsi="Arial"/>
          <w:sz w:val="22"/>
        </w:rPr>
        <w:t>Tanenbaum, A. S., &amp; Wetherall, D. J. (2021). Computer networks (6th ed.). Pearson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