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A3A5C"/>
          <w:sz w:val="72"/>
          <w:szCs w:val="72"/>
        </w:rPr>
        <w:t xml:space="preserve">EPP</w:t>
      </w:r>
    </w:p>
    <w:p>
      <w:pPr>
        <w:spacing w:after="100"/>
        <w:jc w:val="center"/>
      </w:pPr>
      <w:r>
        <w:rPr>
          <w:rFonts w:ascii="Arial" w:cs="Arial" w:eastAsia="Arial" w:hAnsi="Arial"/>
          <w:color w:val="2E86AB"/>
          <w:sz w:val="36"/>
          <w:szCs w:val="36"/>
        </w:rPr>
        <w:t xml:space="preserve">Epistemic Proof Protocol</w:t>
      </w:r>
    </w:p>
    <w:p>
      <w:pPr>
        <w:pBdr>
          <w:bottom w:val="single" w:color="E8B931" w:sz="6" w:space="8"/>
        </w:pBdr>
        <w:spacing w:after="600"/>
        <w:jc w:val="center"/>
      </w:pPr>
      <w:r>
        <w:rPr>
          <w:rFonts w:ascii="Arial" w:cs="Arial" w:eastAsia="Arial" w:hAnsi="Arial"/>
          <w:i/>
          <w:iCs/>
          <w:color w:val="4A4A4A"/>
          <w:sz w:val="24"/>
          <w:szCs w:val="24"/>
        </w:rPr>
        <w:t xml:space="preserve">A Machine for Manufacturing Verifiable Trust</w:t>
      </w:r>
    </w:p>
    <w:p>
      <w:pPr>
        <w:spacing w:before="400" w:after="400"/>
      </w:pPr>
    </w:p>
    <w:p>
      <w:pPr>
        <w:spacing w:after="120"/>
        <w:jc w:val="center"/>
      </w:pPr>
      <w:r>
        <w:rPr>
          <w:rFonts w:ascii="Arial" w:cs="Arial" w:eastAsia="Arial" w:hAnsi="Arial"/>
          <w:color w:val="1C1C1C"/>
          <w:sz w:val="22"/>
          <w:szCs w:val="22"/>
        </w:rPr>
        <w:t xml:space="preserve">Colosseum Hackathon Submission</w:t>
      </w:r>
    </w:p>
    <w:p>
      <w:pPr>
        <w:spacing w:after="120"/>
        <w:jc w:val="center"/>
      </w:pPr>
      <w:r>
        <w:rPr>
          <w:rFonts w:ascii="Arial" w:cs="Arial" w:eastAsia="Arial" w:hAnsi="Arial"/>
          <w:color w:val="6B7B8D"/>
          <w:sz w:val="20"/>
          <w:szCs w:val="20"/>
        </w:rPr>
        <w:t xml:space="preserve">Solana Blockchain  •  Local AI Consensus  •  On-Chain Attestation</w:t>
      </w:r>
    </w:p>
    <w:p>
      <w:pPr>
        <w:spacing w:after="120"/>
        <w:jc w:val="center"/>
      </w:pPr>
      <w:r>
        <w:rPr>
          <w:rFonts w:ascii="Arial" w:cs="Arial" w:eastAsia="Arial" w:hAnsi="Arial"/>
          <w:color w:val="6B7B8D"/>
          <w:sz w:val="20"/>
          <w:szCs w:val="20"/>
        </w:rPr>
        <w:t xml:space="preserve">February 2026</w:t>
      </w:r>
    </w:p>
    <w:p>
      <w:pPr>
        <w:spacing w:before="1200" w:after="1200"/>
      </w:pPr>
    </w:p>
    <w:p>
      <w:pPr>
        <w:jc w:val="center"/>
      </w:pPr>
      <w:r>
        <w:rPr>
          <w:rFonts w:ascii="Arial" w:cs="Arial" w:eastAsia="Arial" w:hAnsi="Arial"/>
          <w:i/>
          <w:iCs/>
          <w:color w:val="2E86AB"/>
          <w:sz w:val="20"/>
          <w:szCs w:val="20"/>
        </w:rPr>
        <w:t xml:space="preserve">"The oracle problem is not just technical but epistemological."</w:t>
      </w:r>
    </w:p>
    <w:p>
      <w:pPr>
        <w:spacing w:after="60"/>
        <w:jc w:val="center"/>
      </w:pPr>
      <w:r>
        <w:rPr>
          <w:rFonts w:ascii="Arial" w:cs="Arial" w:eastAsia="Arial" w:hAnsi="Arial"/>
          <w:color w:val="6B7B8D"/>
          <w:sz w:val="18"/>
          <w:szCs w:val="18"/>
        </w:rPr>
        <w:t xml:space="preserve">Caldarelli, 2025 • Bank for International Settlements, 2023</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3A5C"/>
          <w:sz w:val="32"/>
          <w:szCs w:val="32"/>
        </w:rPr>
        <w:t xml:space="preserve">1. The Problem: Epistemic Trust in the AI Era</w:t>
      </w:r>
    </w:p>
    <w:p>
      <w:pPr>
        <w:spacing w:after="160" w:line="300"/>
      </w:pPr>
      <w:r>
        <w:rPr>
          <w:rFonts w:ascii="Arial" w:cs="Arial" w:eastAsia="Arial" w:hAnsi="Arial"/>
          <w:color w:val="1C1C1C"/>
          <w:sz w:val="21"/>
          <w:szCs w:val="21"/>
        </w:rPr>
        <w:t xml:space="preserve">Blockchain technology promises trustless execution, but every smart contract that references the real world depends on an oracle — an external entity that reintroduces the very trust the system was designed to eliminate.</w:t>
      </w:r>
      <w:r>
        <w:rPr>
          <w:rStyle w:val="FootnoteReference"/>
        </w:rPr>
        <w:footnoteReference w:id="11"/>
      </w:r>
      <w:r>
        <w:rPr>
          <w:rFonts w:ascii="Arial" w:cs="Arial" w:eastAsia="Arial" w:hAnsi="Arial"/>
          <w:color w:val="1C1C1C"/>
          <w:sz w:val="21"/>
          <w:szCs w:val="21"/>
        </w:rPr>
        <w:t xml:space="preserve"> In 2022 alone, DeFi protocols lost $403.2 million across 41 oracle manipulation attacks.</w:t>
      </w:r>
      <w:r>
        <w:rPr>
          <w:rStyle w:val="FootnoteReference"/>
        </w:rPr>
        <w:footnoteReference w:id="12"/>
      </w:r>
    </w:p>
    <w:p>
      <w:pPr>
        <w:spacing w:after="160" w:line="300"/>
      </w:pPr>
      <w:r>
        <w:rPr>
          <w:rFonts w:ascii="Arial" w:cs="Arial" w:eastAsia="Arial" w:hAnsi="Arial"/>
          <w:color w:val="1C1C1C"/>
          <w:sz w:val="21"/>
          <w:szCs w:val="21"/>
        </w:rPr>
        <w:t xml:space="preserve">The Bank for International Settlements frames this as a fundamental paradox: </w:t>
      </w:r>
      <w:r>
        <w:rPr>
          <w:rFonts w:ascii="Arial" w:cs="Arial" w:eastAsia="Arial" w:hAnsi="Arial"/>
          <w:b/>
          <w:bCs/>
          <w:color w:val="1C1C1C"/>
          <w:sz w:val="21"/>
          <w:szCs w:val="21"/>
        </w:rPr>
        <w:t xml:space="preserve">the problem is not technical but epistemological.</w:t>
      </w:r>
      <w:r>
        <w:rPr>
          <w:rStyle w:val="FootnoteReference"/>
        </w:rPr>
        <w:footnoteReference w:id="2"/>
      </w:r>
      <w:r>
        <w:rPr>
          <w:rFonts w:ascii="Arial" w:cs="Arial" w:eastAsia="Arial" w:hAnsi="Arial"/>
          <w:color w:val="1C1C1C"/>
          <w:sz w:val="21"/>
          <w:szCs w:val="21"/>
        </w:rPr>
        <w:t xml:space="preserve"> Existing oracles — Chainlink, Pyth, Switchboard — solve the data feed problem (prices, timestamps, scores). But a growing class of decisions depends not on </w:t>
      </w:r>
      <w:r>
        <w:rPr>
          <w:rFonts w:ascii="Arial" w:cs="Arial" w:eastAsia="Arial" w:hAnsi="Arial"/>
          <w:i/>
          <w:iCs/>
          <w:color w:val="4A4A4A"/>
          <w:sz w:val="21"/>
          <w:szCs w:val="21"/>
        </w:rPr>
        <w:t xml:space="preserve">data</w:t>
      </w:r>
      <w:r>
        <w:rPr>
          <w:rFonts w:ascii="Arial" w:cs="Arial" w:eastAsia="Arial" w:hAnsi="Arial"/>
          <w:color w:val="1C1C1C"/>
          <w:sz w:val="21"/>
          <w:szCs w:val="21"/>
        </w:rPr>
        <w:t xml:space="preserve"> but on </w:t>
      </w:r>
      <w:r>
        <w:rPr>
          <w:rFonts w:ascii="Arial" w:cs="Arial" w:eastAsia="Arial" w:hAnsi="Arial"/>
          <w:i/>
          <w:iCs/>
          <w:color w:val="4A4A4A"/>
          <w:sz w:val="21"/>
          <w:szCs w:val="21"/>
        </w:rPr>
        <w:t xml:space="preserve">claims</w:t>
      </w:r>
      <w:r>
        <w:rPr>
          <w:rFonts w:ascii="Arial" w:cs="Arial" w:eastAsia="Arial" w:hAnsi="Arial"/>
          <w:color w:val="1C1C1C"/>
          <w:sz w:val="21"/>
          <w:szCs w:val="21"/>
        </w:rPr>
        <w:t xml:space="preserve">: Is this statement true? Does the evidence support this conclusion? Is this entity compliant?</w:t>
      </w:r>
    </w:p>
    <w:p>
      <w:pPr>
        <w:spacing w:after="160" w:line="300"/>
      </w:pPr>
      <w:r>
        <w:rPr>
          <w:rFonts w:ascii="Arial" w:cs="Arial" w:eastAsia="Arial" w:hAnsi="Arial"/>
          <w:color w:val="1C1C1C"/>
          <w:sz w:val="21"/>
          <w:szCs w:val="21"/>
        </w:rPr>
        <w:t xml:space="preserve">No protocol today provides verified, on-chain attestations for factual claims. This is the gap EPP fills.</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2. EPP: Epistemic Proof Protocol</w:t>
      </w:r>
    </w:p>
    <w:p>
      <w:pPr>
        <w:spacing w:after="160" w:line="300"/>
      </w:pPr>
      <w:r>
        <w:rPr>
          <w:rFonts w:ascii="Arial" w:cs="Arial" w:eastAsia="Arial" w:hAnsi="Arial"/>
          <w:color w:val="1C1C1C"/>
          <w:sz w:val="21"/>
          <w:szCs w:val="21"/>
        </w:rPr>
        <w:t xml:space="preserve">EPP is a </w:t>
      </w:r>
      <w:r>
        <w:rPr>
          <w:rFonts w:ascii="Arial" w:cs="Arial" w:eastAsia="Arial" w:hAnsi="Arial"/>
          <w:b/>
          <w:bCs/>
          <w:color w:val="1C1C1C"/>
          <w:sz w:val="21"/>
          <w:szCs w:val="21"/>
        </w:rPr>
        <w:t xml:space="preserve">consensus engine for knowledge claims</w:t>
      </w:r>
      <w:r>
        <w:rPr>
          <w:rFonts w:ascii="Arial" w:cs="Arial" w:eastAsia="Arial" w:hAnsi="Arial"/>
          <w:color w:val="1C1C1C"/>
          <w:sz w:val="21"/>
          <w:szCs w:val="21"/>
        </w:rPr>
        <w:t xml:space="preserve">, anchored on Solana. Multiple AI models deliberate through structured debate cycles to reach consensus on factual assertions, producing cryptographically verifiable attestations stored on-chain.</w:t>
      </w:r>
    </w:p>
    <w:p>
      <w:pPr>
        <w:pStyle w:val="Heading2"/>
        <w:spacing w:before="280" w:after="160"/>
      </w:pPr>
      <w:r>
        <w:rPr>
          <w:rFonts w:ascii="Arial" w:cs="Arial" w:eastAsia="Arial" w:hAnsi="Arial"/>
          <w:b/>
          <w:bCs/>
          <w:color w:val="2E86AB"/>
          <w:sz w:val="26"/>
          <w:szCs w:val="26"/>
        </w:rPr>
        <w:t xml:space="preserve">2.1 How It Works: The ESMM Protocol</w:t>
      </w:r>
    </w:p>
    <w:p>
      <w:pPr>
        <w:spacing w:after="160" w:line="300"/>
      </w:pPr>
      <w:r>
        <w:rPr>
          <w:rFonts w:ascii="Arial" w:cs="Arial" w:eastAsia="Arial" w:hAnsi="Arial"/>
          <w:color w:val="1C1C1C"/>
          <w:sz w:val="21"/>
          <w:szCs w:val="21"/>
        </w:rPr>
        <w:t xml:space="preserve">The Epistemic State Machine Model (ESMM) orchestrates AI deliberation in three phases:</w:t>
      </w:r>
    </w:p>
    <w:p>
      <w:pPr>
        <w:pStyle w:val="ListParagraph"/>
        <w:numPr>
          <w:ilvl w:val="0"/>
          <w:numId w:val="2"/>
        </w:numPr>
        <w:spacing w:after="120" w:line="300"/>
      </w:pPr>
      <w:r>
        <w:rPr>
          <w:rFonts w:ascii="Arial" w:cs="Arial" w:eastAsia="Arial" w:hAnsi="Arial"/>
          <w:b/>
          <w:bCs/>
          <w:color w:val="1C1C1C"/>
          <w:sz w:val="21"/>
          <w:szCs w:val="21"/>
        </w:rPr>
        <w:t xml:space="preserve">Divergent Cycle</w:t>
      </w:r>
      <w:r>
        <w:rPr>
          <w:rFonts w:ascii="Arial" w:cs="Arial" w:eastAsia="Arial" w:hAnsi="Arial"/>
          <w:color w:val="1C1C1C"/>
          <w:sz w:val="21"/>
          <w:szCs w:val="21"/>
        </w:rPr>
        <w:t xml:space="preserve"> — Independent models generate knowledge triplets (subject, predicate, object) from the claim. No model sees another’s output. Diversity is enforced: minimum 2 architectural families (e.g., Llama + Mistral + DeepSeek).</w:t>
      </w:r>
    </w:p>
    <w:p>
      <w:pPr>
        <w:pStyle w:val="ListParagraph"/>
        <w:numPr>
          <w:ilvl w:val="0"/>
          <w:numId w:val="2"/>
        </w:numPr>
        <w:spacing w:after="120" w:line="300"/>
      </w:pPr>
      <w:r>
        <w:rPr>
          <w:rFonts w:ascii="Arial" w:cs="Arial" w:eastAsia="Arial" w:hAnsi="Arial"/>
          <w:b/>
          <w:bCs/>
          <w:color w:val="1C1C1C"/>
          <w:sz w:val="21"/>
          <w:szCs w:val="21"/>
        </w:rPr>
        <w:t xml:space="preserve">Debate Cycle</w:t>
      </w:r>
      <w:r>
        <w:rPr>
          <w:rFonts w:ascii="Arial" w:cs="Arial" w:eastAsia="Arial" w:hAnsi="Arial"/>
          <w:color w:val="1C1C1C"/>
          <w:sz w:val="21"/>
          <w:szCs w:val="21"/>
        </w:rPr>
        <w:t xml:space="preserve"> — Models challenge and defend extracted triplets. A weighted voting system (Brier-scored) determines consensus. Shannon entropy measures disagreement; semantic dispersion captures how far apart models’ responses are.</w:t>
      </w:r>
    </w:p>
    <w:p>
      <w:pPr>
        <w:pStyle w:val="ListParagraph"/>
        <w:numPr>
          <w:ilvl w:val="0"/>
          <w:numId w:val="2"/>
        </w:numPr>
        <w:spacing w:after="120" w:line="300"/>
      </w:pPr>
      <w:r>
        <w:rPr>
          <w:rFonts w:ascii="Arial" w:cs="Arial" w:eastAsia="Arial" w:hAnsi="Arial"/>
          <w:b/>
          <w:bCs/>
          <w:color w:val="1C1C1C"/>
          <w:sz w:val="21"/>
          <w:szCs w:val="21"/>
        </w:rPr>
        <w:t xml:space="preserve">Meta Cycle</w:t>
      </w:r>
      <w:r>
        <w:rPr>
          <w:rFonts w:ascii="Arial" w:cs="Arial" w:eastAsia="Arial" w:hAnsi="Arial"/>
          <w:color w:val="1C1C1C"/>
          <w:sz w:val="21"/>
          <w:szCs w:val="21"/>
        </w:rPr>
        <w:t xml:space="preserve"> — A final reflective pass evaluates the process itself, flagging ambiguity or insufficient evidence before crystallization.</w:t>
      </w:r>
    </w:p>
    <w:p>
      <w:pPr>
        <w:spacing w:after="160" w:line="300"/>
      </w:pPr>
      <w:r>
        <w:rPr>
          <w:rFonts w:ascii="Arial" w:cs="Arial" w:eastAsia="Arial" w:hAnsi="Arial"/>
          <w:color w:val="1C1C1C"/>
          <w:sz w:val="21"/>
          <w:szCs w:val="21"/>
        </w:rPr>
        <w:t xml:space="preserve">This architecture directly implements what Caldarelli (2025) describes as the most promising approach: </w:t>
      </w:r>
      <w:r>
        <w:rPr>
          <w:rFonts w:ascii="Arial" w:cs="Arial" w:eastAsia="Arial" w:hAnsi="Arial"/>
          <w:i/>
          <w:iCs/>
          <w:color w:val="4A4A4A"/>
          <w:sz w:val="21"/>
          <w:szCs w:val="21"/>
        </w:rPr>
        <w:t xml:space="preserve">"multiple LLM-based agents with different roles deliberate over an event and reach a quorum before delivering an outcome."</w:t>
      </w:r>
      <w:r>
        <w:rPr>
          <w:rStyle w:val="FootnoteReference"/>
        </w:rPr>
        <w:footnoteReference w:id="1"/>
      </w:r>
    </w:p>
    <w:p>
      <w:pPr>
        <w:pStyle w:val="Heading2"/>
        <w:spacing w:before="280" w:after="160"/>
      </w:pPr>
      <w:r>
        <w:rPr>
          <w:rFonts w:ascii="Arial" w:cs="Arial" w:eastAsia="Arial" w:hAnsi="Arial"/>
          <w:b/>
          <w:bCs/>
          <w:color w:val="2E86AB"/>
          <w:sz w:val="26"/>
          <w:szCs w:val="26"/>
        </w:rPr>
        <w:t xml:space="preserve">2.2 What Gets Produced</w:t>
      </w:r>
    </w:p>
    <w:p>
      <w:pPr>
        <w:spacing w:after="160" w:line="300"/>
      </w:pPr>
      <w:r>
        <w:rPr>
          <w:rFonts w:ascii="Arial" w:cs="Arial" w:eastAsia="Arial" w:hAnsi="Arial"/>
          <w:color w:val="1C1C1C"/>
          <w:sz w:val="21"/>
          <w:szCs w:val="21"/>
        </w:rPr>
        <w:t xml:space="preserve">Each deliberation produces an </w:t>
      </w:r>
      <w:r>
        <w:rPr>
          <w:rFonts w:ascii="Arial" w:cs="Arial" w:eastAsia="Arial" w:hAnsi="Arial"/>
          <w:b/>
          <w:bCs/>
          <w:color w:val="1C1C1C"/>
          <w:sz w:val="21"/>
          <w:szCs w:val="21"/>
        </w:rPr>
        <w:t xml:space="preserve">attestation</w:t>
      </w:r>
      <w:r>
        <w:rPr>
          <w:rFonts w:ascii="Arial" w:cs="Arial" w:eastAsia="Arial" w:hAnsi="Arial"/>
          <w:color w:val="1C1C1C"/>
          <w:sz w:val="21"/>
          <w:szCs w:val="21"/>
        </w:rPr>
        <w:t xml:space="preserve"> containing: the validated triplet (claim), a 5-dimensional epistemic signature (confidence, source count, model diversity, temporal stability, Brier accuracy), a metrological frame (reference standard version), and full consensus metadata — methodology, experimental conditions, and diagnostics.</w:t>
      </w:r>
    </w:p>
    <w:p>
      <w:pPr>
        <w:spacing w:after="160" w:line="300"/>
      </w:pPr>
      <w:r>
        <w:rPr>
          <w:rFonts w:ascii="Arial" w:cs="Arial" w:eastAsia="Arial" w:hAnsi="Arial"/>
          <w:color w:val="1C1C1C"/>
          <w:sz w:val="21"/>
          <w:szCs w:val="21"/>
        </w:rPr>
        <w:t xml:space="preserve">Attestations are hashed (SHA-256) and anchored as Program Derived Addresses (PDAs) on Solana devnet. The claim hash is isolated from the methodology: changing how you verify never changes what you verified.</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3. Why Now: Academic and Institutional Validation</w:t>
      </w:r>
    </w:p>
    <w:p>
      <w:pPr>
        <w:spacing w:after="160" w:line="300"/>
      </w:pPr>
      <w:r>
        <w:rPr>
          <w:rFonts w:ascii="Arial" w:cs="Arial" w:eastAsia="Arial" w:hAnsi="Arial"/>
          <w:color w:val="1C1C1C"/>
          <w:sz w:val="21"/>
          <w:szCs w:val="21"/>
        </w:rPr>
        <w:t xml:space="preserve">EPP is not speculative. It sits at the convergence of three research streams that emerged in 2023–2025:</w:t>
      </w:r>
    </w:p>
    <w:p>
      <w:pPr>
        <w:spacing w:before="200" w:after="120"/>
      </w:pPr>
      <w:r>
        <w:rPr>
          <w:rFonts w:ascii="Arial" w:cs="Arial" w:eastAsia="Arial" w:hAnsi="Arial"/>
          <w:b/>
          <w:bCs/>
          <w:color w:val="1A3A5C"/>
          <w:sz w:val="22"/>
          <w:szCs w:val="22"/>
        </w:rPr>
        <w:t xml:space="preserve">The BIS Diagnosis (2023)</w:t>
      </w:r>
    </w:p>
    <w:p>
      <w:pPr>
        <w:spacing w:after="160" w:line="300"/>
      </w:pPr>
      <w:r>
        <w:rPr>
          <w:rFonts w:ascii="Arial" w:cs="Arial" w:eastAsia="Arial" w:hAnsi="Arial"/>
          <w:color w:val="1C1C1C"/>
          <w:sz w:val="21"/>
          <w:szCs w:val="21"/>
        </w:rPr>
        <w:t xml:space="preserve">The Bank for International Settlements distinguishes two types of trust: </w:t>
      </w:r>
      <w:r>
        <w:rPr>
          <w:rFonts w:ascii="Arial" w:cs="Arial" w:eastAsia="Arial" w:hAnsi="Arial"/>
          <w:b/>
          <w:bCs/>
          <w:color w:val="1C1C1C"/>
          <w:sz w:val="21"/>
          <w:szCs w:val="21"/>
        </w:rPr>
        <w:t xml:space="preserve">trust in competence</w:t>
      </w:r>
      <w:r>
        <w:rPr>
          <w:rFonts w:ascii="Arial" w:cs="Arial" w:eastAsia="Arial" w:hAnsi="Arial"/>
          <w:color w:val="1C1C1C"/>
          <w:sz w:val="21"/>
          <w:szCs w:val="21"/>
        </w:rPr>
        <w:t xml:space="preserve"> (can the system execute correctly?) and </w:t>
      </w:r>
      <w:r>
        <w:rPr>
          <w:rFonts w:ascii="Arial" w:cs="Arial" w:eastAsia="Arial" w:hAnsi="Arial"/>
          <w:b/>
          <w:bCs/>
          <w:color w:val="1C1C1C"/>
          <w:sz w:val="21"/>
          <w:szCs w:val="21"/>
        </w:rPr>
        <w:t xml:space="preserve">trust in intentions</w:t>
      </w:r>
      <w:r>
        <w:rPr>
          <w:rFonts w:ascii="Arial" w:cs="Arial" w:eastAsia="Arial" w:hAnsi="Arial"/>
          <w:color w:val="1C1C1C"/>
          <w:sz w:val="21"/>
          <w:szCs w:val="21"/>
        </w:rPr>
        <w:t xml:space="preserve"> (is the outcome fair and ethical?).</w:t>
      </w:r>
      <w:r>
        <w:rPr>
          <w:rStyle w:val="FootnoteReference"/>
        </w:rPr>
        <w:footnoteReference w:id="2"/>
      </w:r>
      <w:r>
        <w:rPr>
          <w:rFonts w:ascii="Arial" w:cs="Arial" w:eastAsia="Arial" w:hAnsi="Arial"/>
          <w:color w:val="1C1C1C"/>
          <w:sz w:val="21"/>
          <w:szCs w:val="21"/>
        </w:rPr>
        <w:t xml:space="preserve"> Consensus protocols can ensure the former but not the latter. The BIS concludes that DeFi will remain limited to cryptoassets unless this epistemological gap is addressed. EPP attacks this gap directly by making epistemic processes auditable, versionable, and anchored to real-world reference standards.</w:t>
      </w:r>
    </w:p>
    <w:p>
      <w:pPr>
        <w:spacing w:before="200" w:after="120"/>
      </w:pPr>
      <w:r>
        <w:rPr>
          <w:rFonts w:ascii="Arial" w:cs="Arial" w:eastAsia="Arial" w:hAnsi="Arial"/>
          <w:b/>
          <w:bCs/>
          <w:color w:val="1A3A5C"/>
          <w:sz w:val="22"/>
          <w:szCs w:val="22"/>
        </w:rPr>
        <w:t xml:space="preserve">The Caldarelli Framework (2025)</w:t>
      </w:r>
    </w:p>
    <w:p>
      <w:pPr>
        <w:spacing w:after="160" w:line="300"/>
      </w:pPr>
      <w:r>
        <w:rPr>
          <w:rFonts w:ascii="Arial" w:cs="Arial" w:eastAsia="Arial" w:hAnsi="Arial"/>
          <w:color w:val="1C1C1C"/>
          <w:sz w:val="21"/>
          <w:szCs w:val="21"/>
        </w:rPr>
        <w:t xml:space="preserve">Caldarelli’s comprehensive review at the University of Turin establishes that AI is a </w:t>
      </w:r>
      <w:r>
        <w:rPr>
          <w:rFonts w:ascii="Arial" w:cs="Arial" w:eastAsia="Arial" w:hAnsi="Arial"/>
          <w:i/>
          <w:iCs/>
          <w:color w:val="4A4A4A"/>
          <w:sz w:val="21"/>
          <w:szCs w:val="21"/>
        </w:rPr>
        <w:t xml:space="preserve">complementary layer of inference</w:t>
      </w:r>
      <w:r>
        <w:rPr>
          <w:rFonts w:ascii="Arial" w:cs="Arial" w:eastAsia="Arial" w:hAnsi="Arial"/>
          <w:color w:val="1C1C1C"/>
          <w:sz w:val="21"/>
          <w:szCs w:val="21"/>
        </w:rPr>
        <w:t xml:space="preserve">, not a substitute for trust assumptions.</w:t>
      </w:r>
      <w:r>
        <w:rPr>
          <w:rStyle w:val="FootnoteReference"/>
        </w:rPr>
        <w:footnoteReference w:id="1"/>
      </w:r>
      <w:r>
        <w:rPr>
          <w:rFonts w:ascii="Arial" w:cs="Arial" w:eastAsia="Arial" w:hAnsi="Arial"/>
          <w:color w:val="1C1C1C"/>
          <w:sz w:val="21"/>
          <w:szCs w:val="21"/>
        </w:rPr>
        <w:t xml:space="preserve"> The paper catalogs every major approach (anomaly detection, RL-based node selection, LLM fact extraction, hybrid governance) and concludes that </w:t>
      </w:r>
      <w:r>
        <w:rPr>
          <w:rFonts w:ascii="Arial" w:cs="Arial" w:eastAsia="Arial" w:hAnsi="Arial"/>
          <w:b/>
          <w:bCs/>
          <w:color w:val="1C1C1C"/>
          <w:sz w:val="21"/>
          <w:szCs w:val="21"/>
        </w:rPr>
        <w:t xml:space="preserve">hybrid architectures</w:t>
      </w:r>
      <w:r>
        <w:rPr>
          <w:rFonts w:ascii="Arial" w:cs="Arial" w:eastAsia="Arial" w:hAnsi="Arial"/>
          <w:color w:val="1C1C1C"/>
          <w:sz w:val="21"/>
          <w:szCs w:val="21"/>
        </w:rPr>
        <w:t xml:space="preserve"> combining AI inference with cryptoeconomic guarantees are the most viable path forward. EPP is precisely such a hybrid.</w:t>
      </w:r>
    </w:p>
    <w:p>
      <w:pPr>
        <w:spacing w:before="200" w:after="120"/>
      </w:pPr>
      <w:r>
        <w:rPr>
          <w:rFonts w:ascii="Arial" w:cs="Arial" w:eastAsia="Arial" w:hAnsi="Arial"/>
          <w:b/>
          <w:bCs/>
          <w:color w:val="1A3A5C"/>
          <w:sz w:val="22"/>
          <w:szCs w:val="22"/>
        </w:rPr>
        <w:t xml:space="preserve">The C-LLM Precedent (2024)</w:t>
      </w:r>
    </w:p>
    <w:p>
      <w:pPr>
        <w:spacing w:after="160" w:line="300"/>
      </w:pPr>
      <w:r>
        <w:rPr>
          <w:rFonts w:ascii="Arial" w:cs="Arial" w:eastAsia="Arial" w:hAnsi="Arial"/>
          <w:color w:val="1C1C1C"/>
          <w:sz w:val="21"/>
          <w:szCs w:val="21"/>
        </w:rPr>
        <w:t xml:space="preserve">Xian et al. introduce C-LLM, a framework where multiple oracle nodes query independent LLMs and apply a truth-discovery algorithm (SenteTruth) to aggregate responses.</w:t>
      </w:r>
      <w:r>
        <w:rPr>
          <w:rStyle w:val="FootnoteReference"/>
        </w:rPr>
        <w:footnoteReference w:id="3"/>
      </w:r>
      <w:r>
        <w:rPr>
          <w:rFonts w:ascii="Arial" w:cs="Arial" w:eastAsia="Arial" w:hAnsi="Arial"/>
          <w:color w:val="1C1C1C"/>
          <w:sz w:val="21"/>
          <w:szCs w:val="21"/>
        </w:rPr>
        <w:t xml:space="preserve"> They demonstrate up to 17.7% accuracy improvement even with 40% malicious nodes. EPP extends this paradigm with structured deliberation (not just aggregation), epistemic signatures, and on-chain anchoring with methodology traceability.</w:t>
      </w:r>
    </w:p>
    <w:p>
      <w:pPr>
        <w:spacing w:before="200" w:after="120"/>
      </w:pPr>
      <w:r>
        <w:rPr>
          <w:rFonts w:ascii="Arial" w:cs="Arial" w:eastAsia="Arial" w:hAnsi="Arial"/>
          <w:b/>
          <w:bCs/>
          <w:color w:val="1A3A5C"/>
          <w:sz w:val="22"/>
          <w:szCs w:val="22"/>
        </w:rPr>
        <w:t xml:space="preserve">Chainlink AI Oracle Research (2025)</w:t>
      </w:r>
    </w:p>
    <w:p>
      <w:pPr>
        <w:spacing w:after="160" w:line="300"/>
      </w:pPr>
      <w:r>
        <w:rPr>
          <w:rFonts w:ascii="Arial" w:cs="Arial" w:eastAsia="Arial" w:hAnsi="Arial"/>
          <w:color w:val="1C1C1C"/>
          <w:sz w:val="21"/>
          <w:szCs w:val="21"/>
        </w:rPr>
        <w:t xml:space="preserve">Chainlink’s empirical study built an LLM-based prediction market resolver achieving 89% accuracy across 1,660 test cases using GPT-4 with chain-of-thought reasoning.</w:t>
      </w:r>
      <w:r>
        <w:rPr>
          <w:rStyle w:val="FootnoteReference"/>
        </w:rPr>
        <w:footnoteReference w:id="4"/>
      </w:r>
      <w:r>
        <w:rPr>
          <w:rFonts w:ascii="Arial" w:cs="Arial" w:eastAsia="Arial" w:hAnsi="Arial"/>
          <w:color w:val="1C1C1C"/>
          <w:sz w:val="21"/>
          <w:szCs w:val="21"/>
        </w:rPr>
        <w:t xml:space="preserve"> This validates the core premise: LLMs can serve as oracle infrastructure. EPP differentiates by using </w:t>
      </w:r>
      <w:r>
        <w:rPr>
          <w:rFonts w:ascii="Arial" w:cs="Arial" w:eastAsia="Arial" w:hAnsi="Arial"/>
          <w:i/>
          <w:iCs/>
          <w:color w:val="4A4A4A"/>
          <w:sz w:val="21"/>
          <w:szCs w:val="21"/>
        </w:rPr>
        <w:t xml:space="preserve">multiple diverse models</w:t>
      </w:r>
      <w:r>
        <w:rPr>
          <w:rFonts w:ascii="Arial" w:cs="Arial" w:eastAsia="Arial" w:hAnsi="Arial"/>
          <w:color w:val="1C1C1C"/>
          <w:sz w:val="21"/>
          <w:szCs w:val="21"/>
        </w:rPr>
        <w:t xml:space="preserve"> (not a single commercial API) and by preserving the deliberation trace as a first-class on-chain artifact.</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4. Competitive Landscape</w:t>
      </w:r>
    </w:p>
    <w:p>
      <w:pPr>
        <w:spacing w:after="160" w:line="300"/>
      </w:pPr>
      <w:r>
        <w:rPr>
          <w:rFonts w:ascii="Arial" w:cs="Arial" w:eastAsia="Arial" w:hAnsi="Arial"/>
          <w:color w:val="1C1C1C"/>
          <w:sz w:val="21"/>
          <w:szCs w:val="21"/>
        </w:rPr>
        <w:t xml:space="preserve">EPP occupies a unique position. Existing oracle solutions address data feeds; EPP addresses knowledge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Protocol</w:t>
            </w:r>
          </w:p>
        </w:tc>
        <w:tc>
          <w:tcPr>
            <w:tcW w:type="dxa" w:w="22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Does</w:t>
            </w:r>
          </w:p>
        </w:tc>
        <w:tc>
          <w:tcPr>
            <w:tcW w:type="dxa" w:w="22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Trust Model</w:t>
            </w:r>
          </w:p>
        </w:tc>
        <w:tc>
          <w:tcPr>
            <w:tcW w:type="dxa" w:w="316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EPP Differentiator</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Chainlink</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Price feeds, VRF, CCIP cross-chain messaging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DON with staking, reputation-based node selection</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EPP verifies claims, not data points. Deliberation, not aggregation.</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Pyth Network</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High-frequency financial data from first-party publishers</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Publisher confidence intervals, staking</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EPP handles qualitative assertions. No publisher dependency.</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Supra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Threshold AI oracles with RL-trained agents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Stake + slash + reputation via RL</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EPP uses Brier scoring + architectural diversity instead of financial staking.</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Oraichain</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AI-centric blockchain for on-chain inference</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Test-case benchmarking, model voting</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EPP anchors on existing Solana, not a new L1. Lower adoption barrier.</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eOracle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Programmable OVS via EigenLayer restaking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EigenLayer economic security, ETH restaking</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EPP is EVM-independent. Solana-native. Epistemic, not financial.</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Range</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On-chain risk scores for Solana wallets via Switchboard</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Signed oracle quotes, API verification</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21"/>
                <w:szCs w:val="21"/>
              </w:rPr>
              <w:t xml:space="preserve">Complementary. Range = risk intelligence. EPP = epistemic intelligence.</w:t>
            </w:r>
          </w:p>
        </w:tc>
      </w:tr>
    </w:tbl>
    <w:p>
      <w:pPr>
        <w:spacing w:before="120" w:after="120"/>
      </w:pPr>
    </w:p>
    <w:p>
      <w:pPr>
        <w:spacing w:after="160" w:line="300"/>
      </w:pPr>
      <w:r>
        <w:rPr>
          <w:rFonts w:ascii="Arial" w:cs="Arial" w:eastAsia="Arial" w:hAnsi="Arial"/>
          <w:i/>
          <w:iCs/>
          <w:color w:val="4A4A4A"/>
          <w:sz w:val="21"/>
          <w:szCs w:val="21"/>
        </w:rPr>
        <w:t xml:space="preserve">Sources: Caldarelli 2025</w:t>
      </w:r>
      <w:r>
        <w:rPr>
          <w:rStyle w:val="FootnoteReference"/>
        </w:rPr>
        <w:footnoteReference w:id="1"/>
      </w:r>
      <w:r>
        <w:rPr>
          <w:rFonts w:ascii="Arial" w:cs="Arial" w:eastAsia="Arial" w:hAnsi="Arial"/>
          <w:i/>
          <w:iCs/>
          <w:color w:val="4A4A4A"/>
          <w:sz w:val="21"/>
          <w:szCs w:val="21"/>
        </w:rPr>
        <w:t xml:space="preserve">; eOracle 2024</w:t>
      </w:r>
      <w:r>
        <w:rPr>
          <w:rStyle w:val="FootnoteReference"/>
        </w:rPr>
        <w:footnoteReference w:id="7"/>
      </w:r>
      <w:r>
        <w:rPr>
          <w:rFonts w:ascii="Arial" w:cs="Arial" w:eastAsia="Arial" w:hAnsi="Arial"/>
          <w:i/>
          <w:iCs/>
          <w:color w:val="4A4A4A"/>
          <w:sz w:val="21"/>
          <w:szCs w:val="21"/>
        </w:rPr>
        <w:t xml:space="preserve">; Range Security 2025</w:t>
      </w:r>
      <w:r>
        <w:rPr>
          <w:rStyle w:val="FootnoteReference"/>
        </w:rPr>
        <w:footnoteReference w:id="6"/>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5. Technical Architecture</w:t>
      </w:r>
    </w:p>
    <w:p>
      <w:pPr>
        <w:pStyle w:val="Heading2"/>
        <w:spacing w:before="280" w:after="160"/>
      </w:pPr>
      <w:r>
        <w:rPr>
          <w:rFonts w:ascii="Arial" w:cs="Arial" w:eastAsia="Arial" w:hAnsi="Arial"/>
          <w:b/>
          <w:bCs/>
          <w:color w:val="2E86AB"/>
          <w:sz w:val="26"/>
          <w:szCs w:val="26"/>
        </w:rPr>
        <w:t xml:space="preserve">5.1 Four Founding Axioms</w:t>
      </w:r>
    </w:p>
    <w:p>
      <w:pPr>
        <w:pStyle w:val="ListParagraph"/>
        <w:numPr>
          <w:ilvl w:val="0"/>
          <w:numId w:val="3"/>
        </w:numPr>
        <w:spacing w:after="120" w:line="300"/>
      </w:pPr>
      <w:r>
        <w:rPr>
          <w:rFonts w:ascii="Arial" w:cs="Arial" w:eastAsia="Arial" w:hAnsi="Arial"/>
          <w:b/>
          <w:bCs/>
          <w:color w:val="1C1C1C"/>
          <w:sz w:val="21"/>
          <w:szCs w:val="21"/>
        </w:rPr>
        <w:t xml:space="preserve">Model Obsolescence</w:t>
      </w:r>
      <w:r>
        <w:rPr>
          <w:rFonts w:ascii="Arial" w:cs="Arial" w:eastAsia="Arial" w:hAnsi="Arial"/>
          <w:color w:val="1C1C1C"/>
          <w:sz w:val="21"/>
          <w:szCs w:val="21"/>
        </w:rPr>
        <w:t xml:space="preserve"> — No hardcoded model dependencies. Models are consumables, not infrastructure. Any LLM can enter or leave the system.</w:t>
      </w:r>
    </w:p>
    <w:p>
      <w:pPr>
        <w:pStyle w:val="ListParagraph"/>
        <w:numPr>
          <w:ilvl w:val="0"/>
          <w:numId w:val="3"/>
        </w:numPr>
        <w:spacing w:after="120" w:line="300"/>
      </w:pPr>
      <w:r>
        <w:rPr>
          <w:rFonts w:ascii="Arial" w:cs="Arial" w:eastAsia="Arial" w:hAnsi="Arial"/>
          <w:b/>
          <w:bCs/>
          <w:color w:val="1C1C1C"/>
          <w:sz w:val="21"/>
          <w:szCs w:val="21"/>
        </w:rPr>
        <w:t xml:space="preserve">Graph Survival</w:t>
      </w:r>
      <w:r>
        <w:rPr>
          <w:rFonts w:ascii="Arial" w:cs="Arial" w:eastAsia="Arial" w:hAnsi="Arial"/>
          <w:color w:val="1C1C1C"/>
          <w:sz w:val="21"/>
          <w:szCs w:val="21"/>
        </w:rPr>
        <w:t xml:space="preserve"> — Knowledge graph data survives all system changes. Data is sovereign.</w:t>
      </w:r>
    </w:p>
    <w:p>
      <w:pPr>
        <w:pStyle w:val="ListParagraph"/>
        <w:numPr>
          <w:ilvl w:val="0"/>
          <w:numId w:val="3"/>
        </w:numPr>
        <w:spacing w:after="120" w:line="300"/>
      </w:pPr>
      <w:r>
        <w:rPr>
          <w:rFonts w:ascii="Arial" w:cs="Arial" w:eastAsia="Arial" w:hAnsi="Arial"/>
          <w:b/>
          <w:bCs/>
          <w:color w:val="1C1C1C"/>
          <w:sz w:val="21"/>
          <w:szCs w:val="21"/>
        </w:rPr>
        <w:t xml:space="preserve">Transparent Regression Cuts</w:t>
      </w:r>
      <w:r>
        <w:rPr>
          <w:rFonts w:ascii="Arial" w:cs="Arial" w:eastAsia="Arial" w:hAnsi="Arial"/>
          <w:color w:val="1C1C1C"/>
          <w:sz w:val="21"/>
          <w:szCs w:val="21"/>
        </w:rPr>
        <w:t xml:space="preserve"> — Every methodology change is versioned. Attestations produced under different conditions are explicitly non-comparable.</w:t>
      </w:r>
    </w:p>
    <w:p>
      <w:pPr>
        <w:pStyle w:val="ListParagraph"/>
        <w:numPr>
          <w:ilvl w:val="0"/>
          <w:numId w:val="3"/>
        </w:numPr>
        <w:spacing w:after="120" w:line="300"/>
      </w:pPr>
      <w:r>
        <w:rPr>
          <w:rFonts w:ascii="Arial" w:cs="Arial" w:eastAsia="Arial" w:hAnsi="Arial"/>
          <w:b/>
          <w:bCs/>
          <w:color w:val="1C1C1C"/>
          <w:sz w:val="21"/>
          <w:szCs w:val="21"/>
        </w:rPr>
        <w:t xml:space="preserve">Local Computation, On-Chain Proof</w:t>
      </w:r>
      <w:r>
        <w:rPr>
          <w:rFonts w:ascii="Arial" w:cs="Arial" w:eastAsia="Arial" w:hAnsi="Arial"/>
          <w:color w:val="1C1C1C"/>
          <w:sz w:val="21"/>
          <w:szCs w:val="21"/>
        </w:rPr>
        <w:t xml:space="preserve"> — AI runs locally (privacy, cost control). Only the cryptographic proof goes on-chain.</w:t>
      </w:r>
    </w:p>
    <w:p>
      <w:pPr>
        <w:pStyle w:val="Heading2"/>
        <w:spacing w:before="280" w:after="160"/>
      </w:pPr>
      <w:r>
        <w:rPr>
          <w:rFonts w:ascii="Arial" w:cs="Arial" w:eastAsia="Arial" w:hAnsi="Arial"/>
          <w:b/>
          <w:bCs/>
          <w:color w:val="2E86AB"/>
          <w:sz w:val="26"/>
          <w:szCs w:val="26"/>
        </w:rPr>
        <w:t xml:space="preserve">5.2 Solana Integration</w:t>
      </w:r>
    </w:p>
    <w:p>
      <w:pPr>
        <w:spacing w:after="160" w:line="300"/>
      </w:pPr>
      <w:r>
        <w:rPr>
          <w:rFonts w:ascii="Arial" w:cs="Arial" w:eastAsia="Arial" w:hAnsi="Arial"/>
          <w:color w:val="1C1C1C"/>
          <w:sz w:val="21"/>
          <w:szCs w:val="21"/>
        </w:rPr>
        <w:t xml:space="preserve">Attestations are stored as Solana PDAs via Anchor framework. The program verifies: submitter authorization (signer check), claim hash uniqueness, and confidence tier assignment (ROBUST ≥ 0.85, MODERATE ≥ 0.60, CONTESTED &lt; 0.60). This architecture addresses the critical Solana vulnerabilities cataloged by Wu et al. (2025)</w:t>
      </w:r>
      <w:r>
        <w:rPr>
          <w:rStyle w:val="FootnoteReference"/>
        </w:rPr>
        <w:footnoteReference w:id="5"/>
      </w:r>
      <w:r>
        <w:rPr>
          <w:rFonts w:ascii="Arial" w:cs="Arial" w:eastAsia="Arial" w:hAnsi="Arial"/>
          <w:color w:val="1C1C1C"/>
          <w:sz w:val="21"/>
          <w:szCs w:val="21"/>
        </w:rPr>
        <w:t xml:space="preserve">: signer checks prevent unauthorized submissions, PDA derivation prevents account confusion, and u16 encoding with explicit tolerance (ADR-001) prevents numerical precision errors.</w:t>
      </w:r>
    </w:p>
    <w:p>
      <w:pPr>
        <w:spacing w:after="160" w:line="300"/>
      </w:pPr>
      <w:r>
        <w:rPr>
          <w:rFonts w:ascii="Arial" w:cs="Arial" w:eastAsia="Arial" w:hAnsi="Arial"/>
          <w:color w:val="1C1C1C"/>
          <w:sz w:val="21"/>
          <w:szCs w:val="21"/>
        </w:rPr>
        <w:t xml:space="preserve">The on-chain pattern mirrors Range Security’s proven model</w:t>
      </w:r>
      <w:r>
        <w:rPr>
          <w:rStyle w:val="FootnoteReference"/>
        </w:rPr>
        <w:footnoteReference w:id="6"/>
      </w:r>
      <w:r>
        <w:rPr>
          <w:rFonts w:ascii="Arial" w:cs="Arial" w:eastAsia="Arial" w:hAnsi="Arial"/>
          <w:color w:val="1C1C1C"/>
          <w:sz w:val="21"/>
          <w:szCs w:val="21"/>
        </w:rPr>
        <w:t xml:space="preserve">: off-chain computation produces a signed result, an oracle relays it, and the Solana program verifies cryptographic integrity before storage. The difference: Range attests wallet risk scores; EPP attests epistemic consensus on factual claims.</w:t>
      </w:r>
    </w:p>
    <w:p>
      <w:pPr>
        <w:pStyle w:val="Heading2"/>
        <w:spacing w:before="280" w:after="160"/>
      </w:pPr>
      <w:r>
        <w:rPr>
          <w:rFonts w:ascii="Arial" w:cs="Arial" w:eastAsia="Arial" w:hAnsi="Arial"/>
          <w:b/>
          <w:bCs/>
          <w:color w:val="2E86AB"/>
          <w:sz w:val="26"/>
          <w:szCs w:val="26"/>
        </w:rPr>
        <w:t xml:space="preserve">5.3 Consensus Metadata (ADR-010)</w:t>
      </w:r>
    </w:p>
    <w:p>
      <w:pPr>
        <w:spacing w:after="160" w:line="300"/>
      </w:pPr>
      <w:r>
        <w:rPr>
          <w:rFonts w:ascii="Arial" w:cs="Arial" w:eastAsia="Arial" w:hAnsi="Arial"/>
          <w:color w:val="1C1C1C"/>
          <w:sz w:val="21"/>
          <w:szCs w:val="21"/>
        </w:rPr>
        <w:t xml:space="preserve">Every attestation carries a consensus_meta field documenting how it was produced: pipeline version, embedding model, merge strategy (methodology); model identifiers with parameter sizes and quantization levels (conditions); and vote entropy, semantic dispersion, ambiguity detection (diagnostics). This directly addresses what Caldarelli identifies as the opacity problem</w:t>
      </w:r>
      <w:r>
        <w:rPr>
          <w:rStyle w:val="FootnoteReference"/>
        </w:rPr>
        <w:footnoteReference w:id="1"/>
      </w:r>
      <w:r>
        <w:rPr>
          <w:rFonts w:ascii="Arial" w:cs="Arial" w:eastAsia="Arial" w:hAnsi="Arial"/>
          <w:color w:val="1C1C1C"/>
          <w:sz w:val="21"/>
          <w:szCs w:val="21"/>
        </w:rPr>
        <w:t xml:space="preserve">: AI decisions must be auditable. EPP makes the deliberation process a first-class artifact, not a black box.</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6. Security and Adversarial Resilience</w:t>
      </w:r>
    </w:p>
    <w:p>
      <w:pPr>
        <w:spacing w:after="160" w:line="300"/>
      </w:pPr>
      <w:r>
        <w:rPr>
          <w:rFonts w:ascii="Arial" w:cs="Arial" w:eastAsia="Arial" w:hAnsi="Arial"/>
          <w:color w:val="1C1C1C"/>
          <w:sz w:val="21"/>
          <w:szCs w:val="21"/>
        </w:rPr>
        <w:t xml:space="preserve">The academic literature identifies four primary attack vectors against AI oracle systems. Here is how EPP addresses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c>
          <w:tcPr>
            <w:tcW w:type="dxa" w:w="21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Attack Vector</w:t>
            </w:r>
          </w:p>
        </w:tc>
        <w:tc>
          <w:tcPr>
            <w:tcW w:type="dxa" w:w="33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Academic Context</w:t>
            </w:r>
          </w:p>
        </w:tc>
        <w:tc>
          <w:tcPr>
            <w:tcW w:type="dxa" w:w="396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EPP Defense</w:t>
            </w:r>
          </w:p>
        </w:tc>
      </w:tr>
      <w:tr>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Sybil Attack</w:t>
            </w:r>
          </w:p>
        </w:tc>
        <w:tc>
          <w:tcPr>
            <w:tcW w:type="dxa" w:w="3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Adversary controls multiple oracle nodes to influence consensus (Caldarelli 2025, §3.2)</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Architectural family diversity enforced (min 2 families). Response deduplicator detects identical submissions. Diversity bonus in scoring.</w:t>
            </w:r>
          </w:p>
        </w:tc>
      </w:tr>
      <w:tr>
        <w:tc>
          <w:tcPr>
            <w:tcW w:type="dxa" w:w="21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Hallucination Convergence</w:t>
            </w:r>
          </w:p>
        </w:tc>
        <w:tc>
          <w:tcPr>
            <w:tcW w:type="dxa" w:w="33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LLMs trained on similar data converge to the same fabrication (Caldarelli 2025, §4.2)</w:t>
            </w:r>
          </w:p>
        </w:tc>
        <w:tc>
          <w:tcPr>
            <w:tcW w:type="dxa" w:w="39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Multi-family deliberation. Semantic merge preserves variations. Vote entropy flags unanimous but low-evidence consensus.</w:t>
            </w:r>
          </w:p>
        </w:tc>
      </w:tr>
      <w:tr>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Non-Determinism</w:t>
            </w:r>
          </w:p>
        </w:tc>
        <w:tc>
          <w:tcPr>
            <w:tcW w:type="dxa" w:w="3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Identical LLM setups produce different outputs, undermining consensus (Xian et al. 2024)</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EPP treats variability as signal (ambiguity detection), not noise. Semantic similarity for convergence, not string matching.</w:t>
            </w:r>
          </w:p>
        </w:tc>
      </w:tr>
      <w:tr>
        <w:tc>
          <w:tcPr>
            <w:tcW w:type="dxa" w:w="21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Oracle Manipulation</w:t>
            </w:r>
          </w:p>
        </w:tc>
        <w:tc>
          <w:tcPr>
            <w:tcW w:type="dxa" w:w="33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$403M lost in 2022 (Chainalysis). Flash loans, price distortion (Wu et al. 2025, §3.5)</w:t>
            </w:r>
          </w:p>
        </w:tc>
        <w:tc>
          <w:tcPr>
            <w:tcW w:type="dxa" w:w="39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Commit-reveal protocol. 5-6 min deliberation cycles make flash-attack timing impractical. Claims, not prices: no arbitrage surface.</w:t>
            </w:r>
          </w:p>
        </w:tc>
      </w:tr>
    </w:tbl>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7. Use Cases Beyond DeFi</w:t>
      </w:r>
    </w:p>
    <w:p>
      <w:pPr>
        <w:spacing w:after="160" w:line="300"/>
      </w:pPr>
      <w:r>
        <w:rPr>
          <w:rFonts w:ascii="Arial" w:cs="Arial" w:eastAsia="Arial" w:hAnsi="Arial"/>
          <w:color w:val="1C1C1C"/>
          <w:sz w:val="21"/>
          <w:szCs w:val="21"/>
        </w:rPr>
        <w:t xml:space="preserve">The oracle problem is not confined to finance. The Prism Sustainability Directory documents an emerging need for </w:t>
      </w:r>
      <w:r>
        <w:rPr>
          <w:rFonts w:ascii="Arial" w:cs="Arial" w:eastAsia="Arial" w:hAnsi="Arial"/>
          <w:b/>
          <w:bCs/>
          <w:color w:val="1C1C1C"/>
          <w:sz w:val="21"/>
          <w:szCs w:val="21"/>
        </w:rPr>
        <w:t xml:space="preserve">Decentralized Environmental Oracle Networks</w:t>
      </w:r>
      <w:r>
        <w:rPr>
          <w:rStyle w:val="FootnoteReference"/>
        </w:rPr>
        <w:footnoteReference w:id="8"/>
      </w:r>
      <w:r>
        <w:rPr>
          <w:rFonts w:ascii="Arial" w:cs="Arial" w:eastAsia="Arial" w:hAnsi="Arial"/>
          <w:color w:val="1C1C1C"/>
          <w:sz w:val="21"/>
          <w:szCs w:val="21"/>
        </w:rPr>
        <w:t xml:space="preserve"> that verify ESG claims, carbon credits, and regulatory compliance on-chain.</w:t>
      </w:r>
    </w:p>
    <w:p>
      <w:pPr>
        <w:spacing w:before="200" w:after="120"/>
      </w:pPr>
      <w:r>
        <w:rPr>
          <w:rFonts w:ascii="Arial" w:cs="Arial" w:eastAsia="Arial" w:hAnsi="Arial"/>
          <w:b/>
          <w:bCs/>
          <w:color w:val="1A3A5C"/>
          <w:sz w:val="22"/>
          <w:szCs w:val="22"/>
        </w:rPr>
        <w:t xml:space="preserve">Epistemic Oracle for Green Finance</w:t>
      </w:r>
    </w:p>
    <w:p>
      <w:pPr>
        <w:spacing w:after="160" w:line="300"/>
      </w:pPr>
      <w:r>
        <w:rPr>
          <w:rFonts w:ascii="Arial" w:cs="Arial" w:eastAsia="Arial" w:hAnsi="Arial"/>
          <w:color w:val="1C1C1C"/>
          <w:sz w:val="21"/>
          <w:szCs w:val="21"/>
        </w:rPr>
        <w:t xml:space="preserve">Claim: “Company X reduced Scope 2 emissions by 30% in 2025.” This is not a price feed. It requires multi-source verification, methodology awareness, and confidence scoring — exactly what EPP provides. A metrological frame (e.g., GHG Protocol v2.0) anchors the assessment to a recognized standard.</w:t>
      </w:r>
    </w:p>
    <w:p>
      <w:pPr>
        <w:spacing w:before="200" w:after="120"/>
      </w:pPr>
      <w:r>
        <w:rPr>
          <w:rFonts w:ascii="Arial" w:cs="Arial" w:eastAsia="Arial" w:hAnsi="Arial"/>
          <w:b/>
          <w:bCs/>
          <w:color w:val="1A3A5C"/>
          <w:sz w:val="22"/>
          <w:szCs w:val="22"/>
        </w:rPr>
        <w:t xml:space="preserve">AI Model Governance</w:t>
      </w:r>
    </w:p>
    <w:p>
      <w:pPr>
        <w:spacing w:after="160" w:line="300"/>
      </w:pPr>
      <w:r>
        <w:rPr>
          <w:rFonts w:ascii="Arial" w:cs="Arial" w:eastAsia="Arial" w:hAnsi="Arial"/>
          <w:color w:val="1C1C1C"/>
          <w:sz w:val="21"/>
          <w:szCs w:val="21"/>
        </w:rPr>
        <w:t xml:space="preserve">Claim: “Model Y achieves &lt;5% error rate on benchmark Z.” As DAOs deploy AI models, they need on-chain verification of performance claims. EPP can produce attestations consumed by governance smart contracts.</w:t>
      </w:r>
    </w:p>
    <w:p>
      <w:pPr>
        <w:spacing w:before="200" w:after="120"/>
      </w:pPr>
      <w:r>
        <w:rPr>
          <w:rFonts w:ascii="Arial" w:cs="Arial" w:eastAsia="Arial" w:hAnsi="Arial"/>
          <w:b/>
          <w:bCs/>
          <w:color w:val="1A3A5C"/>
          <w:sz w:val="22"/>
          <w:szCs w:val="22"/>
        </w:rPr>
        <w:t xml:space="preserve">Regulatory Compliance</w:t>
      </w:r>
    </w:p>
    <w:p>
      <w:pPr>
        <w:spacing w:after="160" w:line="300"/>
      </w:pPr>
      <w:r>
        <w:rPr>
          <w:rFonts w:ascii="Arial" w:cs="Arial" w:eastAsia="Arial" w:hAnsi="Arial"/>
          <w:color w:val="1C1C1C"/>
          <w:sz w:val="21"/>
          <w:szCs w:val="21"/>
        </w:rPr>
        <w:t xml:space="preserve">Claim: “Protocol Z is compliant with MiCA Article 68 requirements.” Regulatory compliance increasingly involves factual assertions that must be verified and timestamped. EPP provides the infrastructure.</w:t>
      </w:r>
    </w:p>
    <w:p>
      <w:pPr>
        <w:spacing w:before="200" w:after="120"/>
      </w:pPr>
      <w:r>
        <w:rPr>
          <w:rFonts w:ascii="Arial" w:cs="Arial" w:eastAsia="Arial" w:hAnsi="Arial"/>
          <w:b/>
          <w:bCs/>
          <w:color w:val="1A3A5C"/>
          <w:sz w:val="22"/>
          <w:szCs w:val="22"/>
        </w:rPr>
        <w:t xml:space="preserve">Scientific Consensus</w:t>
      </w:r>
    </w:p>
    <w:p>
      <w:pPr>
        <w:spacing w:after="160" w:line="300"/>
      </w:pPr>
      <w:r>
        <w:rPr>
          <w:rFonts w:ascii="Arial" w:cs="Arial" w:eastAsia="Arial" w:hAnsi="Arial"/>
          <w:color w:val="1C1C1C"/>
          <w:sz w:val="21"/>
          <w:szCs w:val="21"/>
        </w:rPr>
        <w:t xml:space="preserve">Claim: “Drug X shows statistically significant efficacy in Phase III trials.” EPP’s multi-model deliberation can synthesize findings from published literature, producing verifiable epistemic proofs for research-backed claims.</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8. Current Status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5760"/>
            <w:tcBorders>
              <w:top w:val="single" w:color="D0D5DD" w:sz="1"/>
              <w:left w:val="single" w:color="D0D5DD" w:sz="1"/>
              <w:bottom w:val="single" w:color="D0D5DD" w:sz="1"/>
              <w:right w:val="single" w:color="D0D5DD" w:sz="1"/>
            </w:tcBorders>
            <w:shd w:fill="1A3A5C"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Test Suite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548 passed, 0 failed, 11 skipped</w:t>
            </w:r>
          </w:p>
        </w:tc>
      </w:tr>
      <w:tr>
        <w:tc>
          <w:tcPr>
            <w:tcW w:type="dxa" w:w="3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Architecture Decisions</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10 ADRs documenting every critical design choice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Database Schema</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23 tables, full migration path with backfill</w:t>
            </w:r>
          </w:p>
        </w:tc>
      </w:tr>
      <w:tr>
        <w:tc>
          <w:tcPr>
            <w:tcW w:type="dxa" w:w="3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Solana Program</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Anchor/Rust, deployed on devnet, PDA-based attestation storage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AI Integration</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Ollama local models (Mistral, Llama 3.1, DeepSeek-R1)</w:t>
            </w:r>
          </w:p>
        </w:tc>
      </w:tr>
      <w:tr>
        <w:tc>
          <w:tcPr>
            <w:tcW w:type="dxa" w:w="3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Consensus Pipeline</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Full ESMM: divergent + debate + meta cycles operational</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Security</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after="0"/>
            </w:pPr>
            <w:r>
              <w:rPr>
                <w:rFonts w:ascii="Arial" w:cs="Arial" w:eastAsia="Arial" w:hAnsi="Arial"/>
                <w:color w:val="1C1C1C"/>
                <w:sz w:val="19"/>
                <w:szCs w:val="19"/>
              </w:rPr>
              <w:t xml:space="preserve">Commit-reveal, response deduplication, devnet-only guards, AUDIT_REQUIRED markers</w:t>
            </w:r>
          </w:p>
        </w:tc>
      </w:tr>
      <w:tr>
        <w:tc>
          <w:tcPr>
            <w:tcW w:type="dxa" w:w="3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b/>
                <w:bCs/>
                <w:color w:val="1C1C1C"/>
                <w:sz w:val="21"/>
                <w:szCs w:val="21"/>
              </w:rPr>
              <w:t xml:space="preserve">Language Neutrality</w:t>
            </w:r>
          </w:p>
        </w:tc>
        <w:tc>
          <w:tcPr>
            <w:tcW w:type="dxa" w:w="5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after="0"/>
            </w:pPr>
            <w:r>
              <w:rPr>
                <w:rFonts w:ascii="Arial" w:cs="Arial" w:eastAsia="Arial" w:hAnsi="Arial"/>
                <w:color w:val="1C1C1C"/>
                <w:sz w:val="19"/>
                <w:szCs w:val="19"/>
              </w:rPr>
              <w:t xml:space="preserve">English-only prompts, semantic embedding merge (Phase 4.8)</w:t>
            </w:r>
          </w:p>
        </w:tc>
      </w:tr>
    </w:tbl>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9. Vision: Centralize Now, Decentralize Later</w:t>
      </w:r>
    </w:p>
    <w:p>
      <w:pPr>
        <w:spacing w:after="160" w:line="300"/>
      </w:pPr>
      <w:r>
        <w:rPr>
          <w:rFonts w:ascii="Arial" w:cs="Arial" w:eastAsia="Arial" w:hAnsi="Arial"/>
          <w:color w:val="1C1C1C"/>
          <w:sz w:val="21"/>
          <w:szCs w:val="21"/>
        </w:rPr>
        <w:t xml:space="preserve">EPP follows a deliberate centralization-to-decentralization roadmap:</w:t>
      </w:r>
    </w:p>
    <w:p>
      <w:pPr>
        <w:pStyle w:val="ListParagraph"/>
        <w:numPr>
          <w:ilvl w:val="0"/>
          <w:numId w:val="4"/>
        </w:numPr>
        <w:spacing w:after="120" w:line="300"/>
      </w:pPr>
      <w:r>
        <w:rPr>
          <w:rFonts w:ascii="Arial" w:cs="Arial" w:eastAsia="Arial" w:hAnsi="Arial"/>
          <w:b/>
          <w:bCs/>
          <w:color w:val="1C1C1C"/>
          <w:sz w:val="21"/>
          <w:szCs w:val="21"/>
        </w:rPr>
        <w:t xml:space="preserve">Phase 1 (Current)</w:t>
      </w:r>
      <w:r>
        <w:rPr>
          <w:rFonts w:ascii="Arial" w:cs="Arial" w:eastAsia="Arial" w:hAnsi="Arial"/>
          <w:color w:val="1C1C1C"/>
          <w:sz w:val="21"/>
          <w:szCs w:val="21"/>
        </w:rPr>
        <w:t xml:space="preserve"> — Single operator, local models, Solana devnet. Prove the protocol works.</w:t>
      </w:r>
    </w:p>
    <w:p>
      <w:pPr>
        <w:pStyle w:val="ListParagraph"/>
        <w:numPr>
          <w:ilvl w:val="0"/>
          <w:numId w:val="4"/>
        </w:numPr>
        <w:spacing w:after="120" w:line="300"/>
      </w:pPr>
      <w:r>
        <w:rPr>
          <w:rFonts w:ascii="Arial" w:cs="Arial" w:eastAsia="Arial" w:hAnsi="Arial"/>
          <w:b/>
          <w:bCs/>
          <w:color w:val="1C1C1C"/>
          <w:sz w:val="21"/>
          <w:szCs w:val="21"/>
        </w:rPr>
        <w:t xml:space="preserve">Phase 2</w:t>
      </w:r>
      <w:r>
        <w:rPr>
          <w:rFonts w:ascii="Arial" w:cs="Arial" w:eastAsia="Arial" w:hAnsi="Arial"/>
          <w:color w:val="1C1C1C"/>
          <w:sz w:val="21"/>
          <w:szCs w:val="21"/>
        </w:rPr>
        <w:t xml:space="preserve"> — Multiple operators, shared question pools, mainnet anchoring. Prove the protocol scales.</w:t>
      </w:r>
    </w:p>
    <w:p>
      <w:pPr>
        <w:pStyle w:val="ListParagraph"/>
        <w:numPr>
          <w:ilvl w:val="0"/>
          <w:numId w:val="4"/>
        </w:numPr>
        <w:spacing w:after="120" w:line="300"/>
      </w:pPr>
      <w:r>
        <w:rPr>
          <w:rFonts w:ascii="Arial" w:cs="Arial" w:eastAsia="Arial" w:hAnsi="Arial"/>
          <w:b/>
          <w:bCs/>
          <w:color w:val="1C1C1C"/>
          <w:sz w:val="21"/>
          <w:szCs w:val="21"/>
        </w:rPr>
        <w:t xml:space="preserve">Phase 3</w:t>
      </w:r>
      <w:r>
        <w:rPr>
          <w:rFonts w:ascii="Arial" w:cs="Arial" w:eastAsia="Arial" w:hAnsi="Arial"/>
          <w:color w:val="1C1C1C"/>
          <w:sz w:val="21"/>
          <w:szCs w:val="21"/>
        </w:rPr>
        <w:t xml:space="preserve"> — Community governance (DAO), domain-specific RAGs, progressive verification (social proof → commit-reveal → TEE/ZKP). Prove the protocol decentralizes.</w:t>
      </w:r>
    </w:p>
    <w:p>
      <w:pPr>
        <w:spacing w:after="160" w:line="300"/>
      </w:pPr>
      <w:r>
        <w:rPr>
          <w:rFonts w:ascii="Arial" w:cs="Arial" w:eastAsia="Arial" w:hAnsi="Arial"/>
          <w:color w:val="1C1C1C"/>
          <w:sz w:val="21"/>
          <w:szCs w:val="21"/>
        </w:rPr>
        <w:t xml:space="preserve">Every zone requiring community input is annotated COMMUNITY_DECISION_REQUIRED in the codebase. We do not make unilateral decisions on governance parameters — we identify them and defer them.</w:t>
      </w:r>
    </w:p>
    <w:p>
      <w:pPr>
        <w:pBdr>
          <w:bottom w:val="single" w:color="2E86AB" w:sz="4" w:space="1"/>
        </w:pBdr>
        <w:spacing w:before="200" w:after="200"/>
      </w:pPr>
    </w:p>
    <w:p>
      <w:pPr>
        <w:pStyle w:val="Heading1"/>
        <w:spacing w:before="360" w:after="200"/>
      </w:pPr>
      <w:r>
        <w:rPr>
          <w:rFonts w:ascii="Arial" w:cs="Arial" w:eastAsia="Arial" w:hAnsi="Arial"/>
          <w:b/>
          <w:bCs/>
          <w:color w:val="1A3A5C"/>
          <w:sz w:val="32"/>
          <w:szCs w:val="32"/>
        </w:rPr>
        <w:t xml:space="preserve">10. The Thesis</w:t>
      </w:r>
    </w:p>
    <w:p>
      <w:pPr>
        <w:spacing w:after="160" w:line="300"/>
      </w:pPr>
      <w:r>
        <w:rPr>
          <w:rFonts w:ascii="Arial" w:cs="Arial" w:eastAsia="Arial" w:hAnsi="Arial"/>
          <w:color w:val="1C1C1C"/>
          <w:sz w:val="21"/>
          <w:szCs w:val="21"/>
        </w:rPr>
        <w:t xml:space="preserve">Caldarelli asks: </w:t>
      </w:r>
      <w:r>
        <w:rPr>
          <w:rFonts w:ascii="Arial" w:cs="Arial" w:eastAsia="Arial" w:hAnsi="Arial"/>
          <w:i/>
          <w:iCs/>
          <w:color w:val="4A4A4A"/>
          <w:sz w:val="21"/>
          <w:szCs w:val="21"/>
        </w:rPr>
        <w:t xml:space="preserve">Can AI solve the blockchain oracle problem?</w:t>
      </w:r>
      <w:r>
        <w:rPr>
          <w:rFonts w:ascii="Arial" w:cs="Arial" w:eastAsia="Arial" w:hAnsi="Arial"/>
          <w:color w:val="1C1C1C"/>
          <w:sz w:val="21"/>
          <w:szCs w:val="21"/>
        </w:rPr>
        <w:t xml:space="preserve"> His answer: no, but it can help mitigate it.</w:t>
      </w:r>
      <w:r>
        <w:rPr>
          <w:rStyle w:val="FootnoteReference"/>
        </w:rPr>
        <w:footnoteReference w:id="1"/>
      </w:r>
    </w:p>
    <w:p>
      <w:pPr>
        <w:spacing w:after="160" w:line="300"/>
      </w:pPr>
      <w:r>
        <w:rPr>
          <w:rFonts w:ascii="Arial" w:cs="Arial" w:eastAsia="Arial" w:hAnsi="Arial"/>
          <w:color w:val="1C1C1C"/>
          <w:sz w:val="21"/>
          <w:szCs w:val="21"/>
        </w:rPr>
        <w:t xml:space="preserve">The BIS asks: can DeFi extend beyond cryptoassets? Their answer: not without solving the epistemological trust gap.</w:t>
      </w:r>
      <w:r>
        <w:rPr>
          <w:rStyle w:val="FootnoteReference"/>
        </w:rPr>
        <w:footnoteReference w:id="2"/>
      </w:r>
    </w:p>
    <w:p>
      <w:pPr>
        <w:spacing w:after="160" w:line="300"/>
      </w:pPr>
      <w:r>
        <w:rPr>
          <w:rFonts w:ascii="Arial" w:cs="Arial" w:eastAsia="Arial" w:hAnsi="Arial"/>
          <w:b/>
          <w:bCs/>
          <w:color w:val="1C1C1C"/>
          <w:sz w:val="21"/>
          <w:szCs w:val="21"/>
        </w:rPr>
        <w:t xml:space="preserve">EPP is the infrastructure for that answer.</w:t>
      </w:r>
    </w:p>
    <w:p>
      <w:pPr>
        <w:spacing w:after="160" w:line="300"/>
      </w:pPr>
      <w:r>
        <w:rPr>
          <w:rFonts w:ascii="Arial" w:cs="Arial" w:eastAsia="Arial" w:hAnsi="Arial"/>
          <w:color w:val="1C1C1C"/>
          <w:sz w:val="21"/>
          <w:szCs w:val="21"/>
        </w:rPr>
        <w:t xml:space="preserve">Not a new blockchain. Not a price feed. Not a single-model API wrapper. EPP is a structured deliberation protocol where AI models are consumable instruments, the consensus process is auditable, and the epistemic proof is anchored on Solana — verifiable by anyone, forever.</w:t>
      </w:r>
    </w:p>
    <w:p>
      <w:pPr>
        <w:spacing w:before="200" w:after="200"/>
      </w:pPr>
    </w:p>
    <w:p>
      <w:pPr>
        <w:pBdr>
          <w:top w:val="single" w:color="E8B931" w:sz="4" w:space="8"/>
        </w:pBdr>
        <w:spacing w:after="200"/>
        <w:jc w:val="center"/>
      </w:pPr>
      <w:r>
        <w:rPr>
          <w:rFonts w:ascii="Arial" w:cs="Arial" w:eastAsia="Arial" w:hAnsi="Arial"/>
          <w:i/>
          <w:iCs/>
          <w:color w:val="2E86AB"/>
          <w:sz w:val="20"/>
          <w:szCs w:val="20"/>
        </w:rPr>
        <w:t xml:space="preserve">"AI should be understood as a complementary layer of inference and filtering,</w:t>
      </w:r>
    </w:p>
    <w:p>
      <w:pPr>
        <w:spacing w:after="80"/>
        <w:jc w:val="center"/>
      </w:pPr>
      <w:r>
        <w:rPr>
          <w:rFonts w:ascii="Arial" w:cs="Arial" w:eastAsia="Arial" w:hAnsi="Arial"/>
          <w:i/>
          <w:iCs/>
          <w:color w:val="2E86AB"/>
          <w:sz w:val="20"/>
          <w:szCs w:val="20"/>
        </w:rPr>
        <w:t xml:space="preserve">not a substitute for trust assumptions."</w:t>
      </w:r>
    </w:p>
    <w:p>
      <w:pPr>
        <w:spacing w:after="200"/>
        <w:jc w:val="center"/>
      </w:pPr>
      <w:r>
        <w:rPr>
          <w:rFonts w:ascii="Arial" w:cs="Arial" w:eastAsia="Arial" w:hAnsi="Arial"/>
          <w:color w:val="6B7B8D"/>
          <w:sz w:val="18"/>
          <w:szCs w:val="18"/>
        </w:rPr>
        <w:t xml:space="preserve">Caldarelli, G. (2025). arXiv:2507.02125</w:t>
      </w:r>
    </w:p>
    <w:p>
      <w:r>
        <w:br w:type="page"/>
      </w:r>
    </w:p>
    <w:p>
      <w:pPr>
        <w:pStyle w:val="Heading1"/>
        <w:spacing w:before="360" w:after="200"/>
      </w:pPr>
      <w:r>
        <w:rPr>
          <w:rFonts w:ascii="Arial" w:cs="Arial" w:eastAsia="Arial" w:hAnsi="Arial"/>
          <w:b/>
          <w:bCs/>
          <w:color w:val="1A3A5C"/>
          <w:sz w:val="32"/>
          <w:szCs w:val="32"/>
        </w:rPr>
        <w:t xml:space="preserve">References</w:t>
      </w:r>
    </w:p>
    <w:p>
      <w:pPr>
        <w:spacing w:after="80"/>
        <w:ind w:left="360"/>
      </w:pPr>
      <w:r>
        <w:rPr>
          <w:rFonts w:ascii="Arial" w:cs="Arial" w:eastAsia="Arial" w:hAnsi="Arial"/>
          <w:color w:val="6B7B8D"/>
          <w:sz w:val="18"/>
          <w:szCs w:val="18"/>
        </w:rPr>
        <w:t xml:space="preserve">[1] Caldarelli, G. (2025). Can Artificial Intelligence solve the blockchain oracle problem? Unpacking the Challenges and Possibilities. arXiv:2507.02125. University of Turin.</w:t>
      </w:r>
    </w:p>
    <w:p>
      <w:pPr>
        <w:spacing w:after="80"/>
        <w:ind w:left="360"/>
      </w:pPr>
      <w:r>
        <w:rPr>
          <w:rFonts w:ascii="Arial" w:cs="Arial" w:eastAsia="Arial" w:hAnsi="Arial"/>
          <w:color w:val="6B7B8D"/>
          <w:sz w:val="18"/>
          <w:szCs w:val="18"/>
        </w:rPr>
        <w:t xml:space="preserve">[2] Duley, C., Gambacorta, L., Garratt, R. &amp; Koo Wilkens, P. (2023). The oracle problem and the future of DeFi. BIS Bulletin No. 76. Bank for International Settlements.</w:t>
      </w:r>
    </w:p>
    <w:p>
      <w:pPr>
        <w:spacing w:after="80"/>
        <w:ind w:left="360"/>
      </w:pPr>
      <w:r>
        <w:rPr>
          <w:rFonts w:ascii="Arial" w:cs="Arial" w:eastAsia="Arial" w:hAnsi="Arial"/>
          <w:color w:val="6B7B8D"/>
          <w:sz w:val="18"/>
          <w:szCs w:val="18"/>
        </w:rPr>
        <w:t xml:space="preserve">[3] Xian, Y. et al. (2024). Connecting Large Language Models with Blockchain: Advancing the Evolution of Smart Contracts from Automation to Intelligence. arXiv:2412.02263.</w:t>
      </w:r>
    </w:p>
    <w:p>
      <w:pPr>
        <w:spacing w:after="80"/>
        <w:ind w:left="360"/>
      </w:pPr>
      <w:r>
        <w:rPr>
          <w:rFonts w:ascii="Arial" w:cs="Arial" w:eastAsia="Arial" w:hAnsi="Arial"/>
          <w:color w:val="6B7B8D"/>
          <w:sz w:val="18"/>
          <w:szCs w:val="18"/>
        </w:rPr>
        <w:t xml:space="preserve">[4] Zintus-Art, K., Vass, B. &amp; Ward, J. (2025). Empirical Evidence in AI Oracle Development. Chainlink Research Blog.</w:t>
      </w:r>
    </w:p>
    <w:p>
      <w:pPr>
        <w:spacing w:after="80"/>
        <w:ind w:left="360"/>
      </w:pPr>
      <w:r>
        <w:rPr>
          <w:rFonts w:ascii="Arial" w:cs="Arial" w:eastAsia="Arial" w:hAnsi="Arial"/>
          <w:color w:val="6B7B8D"/>
          <w:sz w:val="18"/>
          <w:szCs w:val="18"/>
        </w:rPr>
        <w:t xml:space="preserve">[5] Wu, X., Xing, J. &amp; Li, X. (2025). Exploring Vulnerabilities and Concerns in Solana Smart Contracts. arXiv:2504.07419. Hainan University.</w:t>
      </w:r>
    </w:p>
    <w:p>
      <w:pPr>
        <w:spacing w:after="80"/>
        <w:ind w:left="360"/>
      </w:pPr>
      <w:r>
        <w:rPr>
          <w:rFonts w:ascii="Arial" w:cs="Arial" w:eastAsia="Arial" w:hAnsi="Arial"/>
          <w:color w:val="6B7B8D"/>
          <w:sz w:val="18"/>
          <w:szCs w:val="18"/>
        </w:rPr>
        <w:t xml:space="preserve">[6] Range Security (2025). Risk Intelligence. Now onchain for Solana programs. range.org.</w:t>
      </w:r>
    </w:p>
    <w:p>
      <w:pPr>
        <w:spacing w:after="80"/>
        <w:ind w:left="360"/>
      </w:pPr>
      <w:r>
        <w:rPr>
          <w:rFonts w:ascii="Arial" w:cs="Arial" w:eastAsia="Arial" w:hAnsi="Arial"/>
          <w:color w:val="6B7B8D"/>
          <w:sz w:val="18"/>
          <w:szCs w:val="18"/>
        </w:rPr>
        <w:t xml:space="preserve">[7] eOracle / Goodylili (2024). The Case for Decentralized Oracles. Philosophical Crypto, Substack.</w:t>
      </w:r>
    </w:p>
    <w:p>
      <w:pPr>
        <w:spacing w:after="80"/>
        <w:ind w:left="360"/>
      </w:pPr>
      <w:r>
        <w:rPr>
          <w:rFonts w:ascii="Arial" w:cs="Arial" w:eastAsia="Arial" w:hAnsi="Arial"/>
          <w:color w:val="6B7B8D"/>
          <w:sz w:val="18"/>
          <w:szCs w:val="18"/>
        </w:rPr>
        <w:t xml:space="preserve">[8] Prism Sustainability Directory (2025). Decentralized Environmental Oracle Networks.</w:t>
      </w:r>
    </w:p>
    <w:p>
      <w:pPr>
        <w:spacing w:after="80"/>
        <w:ind w:left="360"/>
      </w:pPr>
      <w:r>
        <w:rPr>
          <w:rFonts w:ascii="Arial" w:cs="Arial" w:eastAsia="Arial" w:hAnsi="Arial"/>
          <w:color w:val="6B7B8D"/>
          <w:sz w:val="18"/>
          <w:szCs w:val="18"/>
        </w:rPr>
        <w:t xml:space="preserve">[9] Gao, B. et al. (2025). AiRacleX: Automated Detection of Price Oracle Manipulations via LLM-Driven Knowledge Mining. arXiv:2502.06348.</w:t>
      </w:r>
    </w:p>
    <w:p>
      <w:pPr>
        <w:spacing w:after="80"/>
        <w:ind w:left="360"/>
      </w:pPr>
      <w:r>
        <w:rPr>
          <w:rFonts w:ascii="Arial" w:cs="Arial" w:eastAsia="Arial" w:hAnsi="Arial"/>
          <w:color w:val="6B7B8D"/>
          <w:sz w:val="18"/>
          <w:szCs w:val="18"/>
        </w:rPr>
        <w:t xml:space="preserve">[10] Abinivesh, S. (2025). Reinforcement Learning-Enhanced Adaptive Blockchain Oracles for Secure and Efficient Data Aggregation. JISEM 10(27s), 139–144.</w:t>
      </w:r>
    </w:p>
    <w:p>
      <w:pPr>
        <w:spacing w:after="80"/>
        <w:ind w:left="360"/>
      </w:pPr>
      <w:r>
        <w:rPr>
          <w:rFonts w:ascii="Arial" w:cs="Arial" w:eastAsia="Arial" w:hAnsi="Arial"/>
          <w:color w:val="6B7B8D"/>
          <w:sz w:val="18"/>
          <w:szCs w:val="18"/>
        </w:rPr>
        <w:t xml:space="preserve">[11] Egberts, A. (2017). The Oracle Problem – An Analysis of how Blockchain Oracles Undermine the Advantages of Decentralized Ledger Systems. SSRN.</w:t>
      </w:r>
    </w:p>
    <w:p>
      <w:pPr>
        <w:spacing w:after="80"/>
        <w:ind w:left="360"/>
      </w:pPr>
      <w:r>
        <w:rPr>
          <w:rFonts w:ascii="Arial" w:cs="Arial" w:eastAsia="Arial" w:hAnsi="Arial"/>
          <w:color w:val="6B7B8D"/>
          <w:sz w:val="18"/>
          <w:szCs w:val="18"/>
        </w:rPr>
        <w:t xml:space="preserve">[12] Chainalysis Team (2023). Oracle manipulation attacks rising: a unique concern for DeFi.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8D"/>
        <w:sz w:val="16"/>
        <w:szCs w:val="16"/>
      </w:rPr>
      <w:t xml:space="preserve">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B7B8D"/>
          <w:sz w:val="16"/>
          <w:szCs w:val="16"/>
        </w:rPr>
        <w:t xml:space="preserve">Caldarelli, G. (2025). Can AI solve the blockchain oracle problem? arXiv:2507.02125. University of Turin.</w:t>
      </w:r>
    </w:p>
  </w:footnote>
  <w:footnote w:id="2">
    <w:p>
      <w:r>
        <w:rPr>
          <w:rStyle w:val="FootnoteReference"/>
        </w:rPr>
        <w:footnoteRef/>
      </w:r>
      <w:r>
        <w:rPr>
          <w:rFonts w:ascii="Arial" w:cs="Arial" w:eastAsia="Arial" w:hAnsi="Arial"/>
          <w:color w:val="6B7B8D"/>
          <w:sz w:val="16"/>
          <w:szCs w:val="16"/>
        </w:rPr>
        <w:t xml:space="preserve">Duley, C., Gambacorta, L., Garratt, R. &amp; Koo Wilkens, P. (2023). The oracle problem and the future of DeFi. BIS Bulletin No. 76.</w:t>
      </w:r>
    </w:p>
  </w:footnote>
  <w:footnote w:id="3">
    <w:p>
      <w:r>
        <w:rPr>
          <w:rStyle w:val="FootnoteReference"/>
        </w:rPr>
        <w:footnoteRef/>
      </w:r>
      <w:r>
        <w:rPr>
          <w:rFonts w:ascii="Arial" w:cs="Arial" w:eastAsia="Arial" w:hAnsi="Arial"/>
          <w:color w:val="6B7B8D"/>
          <w:sz w:val="16"/>
          <w:szCs w:val="16"/>
        </w:rPr>
        <w:t xml:space="preserve">Xian, Y. et al. (2024). Connecting LLMs with Blockchain: Advancing Smart Contracts from Automation to Intelligence. arXiv:2412.02263.</w:t>
      </w:r>
    </w:p>
  </w:footnote>
  <w:footnote w:id="4">
    <w:p>
      <w:r>
        <w:rPr>
          <w:rStyle w:val="FootnoteReference"/>
        </w:rPr>
        <w:footnoteRef/>
      </w:r>
      <w:r>
        <w:rPr>
          <w:rFonts w:ascii="Arial" w:cs="Arial" w:eastAsia="Arial" w:hAnsi="Arial"/>
          <w:color w:val="6B7B8D"/>
          <w:sz w:val="16"/>
          <w:szCs w:val="16"/>
        </w:rPr>
        <w:t xml:space="preserve">Zintus-Art, K., Vass, B. &amp; Ward, J. (2025). Empirical Evidence in AI Oracle Development. Chainlink Research Blog.</w:t>
      </w:r>
    </w:p>
  </w:footnote>
  <w:footnote w:id="5">
    <w:p>
      <w:r>
        <w:rPr>
          <w:rStyle w:val="FootnoteReference"/>
        </w:rPr>
        <w:footnoteRef/>
      </w:r>
      <w:r>
        <w:rPr>
          <w:rFonts w:ascii="Arial" w:cs="Arial" w:eastAsia="Arial" w:hAnsi="Arial"/>
          <w:color w:val="6B7B8D"/>
          <w:sz w:val="16"/>
          <w:szCs w:val="16"/>
        </w:rPr>
        <w:t xml:space="preserve">Wu, X., Xing, J. &amp; Li, X. (2025). Exploring Vulnerabilities and Concerns in Solana Smart Contracts. arXiv:2504.07419.</w:t>
      </w:r>
    </w:p>
  </w:footnote>
  <w:footnote w:id="6">
    <w:p>
      <w:r>
        <w:rPr>
          <w:rStyle w:val="FootnoteReference"/>
        </w:rPr>
        <w:footnoteRef/>
      </w:r>
      <w:r>
        <w:rPr>
          <w:rFonts w:ascii="Arial" w:cs="Arial" w:eastAsia="Arial" w:hAnsi="Arial"/>
          <w:color w:val="6B7B8D"/>
          <w:sz w:val="16"/>
          <w:szCs w:val="16"/>
        </w:rPr>
        <w:t xml:space="preserve">Range Security (2025). Risk Intelligence Now Onchain for Solana Programs. range.org.</w:t>
      </w:r>
    </w:p>
  </w:footnote>
  <w:footnote w:id="7">
    <w:p>
      <w:r>
        <w:rPr>
          <w:rStyle w:val="FootnoteReference"/>
        </w:rPr>
        <w:footnoteRef/>
      </w:r>
      <w:r>
        <w:rPr>
          <w:rFonts w:ascii="Arial" w:cs="Arial" w:eastAsia="Arial" w:hAnsi="Arial"/>
          <w:color w:val="6B7B8D"/>
          <w:sz w:val="16"/>
          <w:szCs w:val="16"/>
        </w:rPr>
        <w:t xml:space="preserve">eOracle (2024). The Case for Decentralized Oracles. goodylili.substack.com.</w:t>
      </w:r>
    </w:p>
  </w:footnote>
  <w:footnote w:id="8">
    <w:p>
      <w:r>
        <w:rPr>
          <w:rStyle w:val="FootnoteReference"/>
        </w:rPr>
        <w:footnoteRef/>
      </w:r>
      <w:r>
        <w:rPr>
          <w:rFonts w:ascii="Arial" w:cs="Arial" w:eastAsia="Arial" w:hAnsi="Arial"/>
          <w:color w:val="6B7B8D"/>
          <w:sz w:val="16"/>
          <w:szCs w:val="16"/>
        </w:rPr>
        <w:t xml:space="preserve">Prism Sustainability Directory (2025). Decentralized Environmental Oracle Networks.</w:t>
      </w:r>
    </w:p>
  </w:footnote>
  <w:footnote w:id="9">
    <w:p>
      <w:r>
        <w:rPr>
          <w:rStyle w:val="FootnoteReference"/>
        </w:rPr>
        <w:footnoteRef/>
      </w:r>
      <w:r>
        <w:rPr>
          <w:rFonts w:ascii="Arial" w:cs="Arial" w:eastAsia="Arial" w:hAnsi="Arial"/>
          <w:color w:val="6B7B8D"/>
          <w:sz w:val="16"/>
          <w:szCs w:val="16"/>
        </w:rPr>
        <w:t xml:space="preserve">Gao, B. et al. (2025). AiRacleX: Automated Detection of Price Oracle Manipulations via LLM. arXiv:2502.06348.</w:t>
      </w:r>
    </w:p>
  </w:footnote>
  <w:footnote w:id="10">
    <w:p>
      <w:r>
        <w:rPr>
          <w:rStyle w:val="FootnoteReference"/>
        </w:rPr>
        <w:footnoteRef/>
      </w:r>
      <w:r>
        <w:rPr>
          <w:rFonts w:ascii="Arial" w:cs="Arial" w:eastAsia="Arial" w:hAnsi="Arial"/>
          <w:color w:val="6B7B8D"/>
          <w:sz w:val="16"/>
          <w:szCs w:val="16"/>
        </w:rPr>
        <w:t xml:space="preserve">Abinivesh, S. (2025). RL-Enhanced Adaptive Blockchain Oracles. J. Inf. Syst. Eng. Manag. 10(27s).</w:t>
      </w:r>
    </w:p>
  </w:footnote>
  <w:footnote w:id="11">
    <w:p>
      <w:r>
        <w:rPr>
          <w:rStyle w:val="FootnoteReference"/>
        </w:rPr>
        <w:footnoteRef/>
      </w:r>
      <w:r>
        <w:rPr>
          <w:rFonts w:ascii="Arial" w:cs="Arial" w:eastAsia="Arial" w:hAnsi="Arial"/>
          <w:color w:val="6B7B8D"/>
          <w:sz w:val="16"/>
          <w:szCs w:val="16"/>
        </w:rPr>
        <w:t xml:space="preserve">Egberts, A. (2017). The Oracle Problem: How Blockchain Oracles Undermine Decentralized Ledger Systems. SSRN.</w:t>
      </w:r>
    </w:p>
  </w:footnote>
  <w:footnote w:id="12">
    <w:p>
      <w:r>
        <w:rPr>
          <w:rStyle w:val="FootnoteReference"/>
        </w:rPr>
        <w:footnoteRef/>
      </w:r>
      <w:r>
        <w:rPr>
          <w:rFonts w:ascii="Arial" w:cs="Arial" w:eastAsia="Arial" w:hAnsi="Arial"/>
          <w:color w:val="6B7B8D"/>
          <w:sz w:val="16"/>
          <w:szCs w:val="16"/>
        </w:rPr>
        <w:t xml:space="preserve">Chainalysis Team (2023). Oracle manipulation attacks rising: a unique concern for DeFi.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tabs>
        <w:tab w:val="right" w:pos="9026"/>
      </w:tabs>
    </w:pPr>
    <w:r>
      <w:rPr>
        <w:rFonts w:ascii="Arial" w:cs="Arial" w:eastAsia="Arial" w:hAnsi="Arial"/>
        <w:color w:val="6B7B8D"/>
        <w:sz w:val="16"/>
        <w:szCs w:val="16"/>
      </w:rPr>
      <w:t xml:space="preserve">EPP — Epistemic Proof Protocol</w:t>
    </w:r>
    <w:r>
      <w:rPr>
        <w:rFonts w:ascii="Arial" w:cs="Arial" w:eastAsia="Arial" w:hAnsi="Arial"/>
        <w:color w:val="6B7B8D"/>
        <w:sz w:val="16"/>
        <w:szCs w:val="16"/>
      </w:rPr>
      <w:t xml:space="preserve">	Pitch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2026-02-17T07:00:12.952Z</dcterms:created>
  <dcterms:modified xsi:type="dcterms:W3CDTF">2026-02-17T07:00:12.953Z</dcterms:modified>
</cp:coreProperties>
</file>

<file path=docProps/custom.xml><?xml version="1.0" encoding="utf-8"?>
<Properties xmlns="http://schemas.openxmlformats.org/officeDocument/2006/custom-properties" xmlns:vt="http://schemas.openxmlformats.org/officeDocument/2006/docPropsVTypes"/>
</file>