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jc w:val="left"/>
      </w:pPr>
      <w:r>
        <w:rPr>
          <w:rFonts w:ascii="Arial" w:cs="Arial" w:eastAsia="Arial" w:hAnsi="Arial"/>
          <w:b/>
          <w:bCs/>
          <w:color w:val="2E5090"/>
          <w:sz w:val="28"/>
          <w:szCs w:val="28"/>
        </w:rPr>
        <w:t xml:space="preserve">SoftHouse Advisory</w:t>
      </w:r>
    </w:p>
    <w:p>
      <w:pPr>
        <w:spacing w:after="600"/>
        <w:jc w:val="left"/>
      </w:pPr>
      <w:r>
        <w:rPr>
          <w:rFonts w:ascii="Arial" w:cs="Arial" w:eastAsia="Arial" w:hAnsi="Arial"/>
          <w:color w:val="666666"/>
          <w:sz w:val="22"/>
          <w:szCs w:val="22"/>
        </w:rPr>
        <w:t xml:space="preserve">AI Discovery, Enablement &amp;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
        </w:trPr>
        <w:tc>
          <w:tcPr>
            <w:tcW w:type="dxa" w:w="9360"/>
            <w:tcBorders>
              <w:top w:val="none" w:sz="0"/>
              <w:left w:val="none" w:sz="0"/>
              <w:bottom w:val="none" w:sz="0"/>
              <w:right w:val="none" w:sz="0"/>
            </w:tcBorders>
            <w:shd w:fill="D4A84B" w:val="clear"/>
          </w:tcPr>
          <w:p/>
        </w:tc>
      </w:tr>
    </w:tbl>
    <w:p>
      <w:pPr>
        <w:spacing w:before="400" w:after="0"/>
      </w:pPr>
    </w:p>
    <w:p>
      <w:pPr>
        <w:spacing w:after="200"/>
        <w:jc w:val="left"/>
      </w:pPr>
      <w:r>
        <w:rPr>
          <w:rFonts w:ascii="Arial" w:cs="Arial" w:eastAsia="Arial" w:hAnsi="Arial"/>
          <w:color w:val="666666"/>
          <w:sz w:val="24"/>
          <w:szCs w:val="24"/>
        </w:rPr>
        <w:t xml:space="preserve">Proposal for</w:t>
      </w:r>
    </w:p>
    <w:p>
      <w:pPr>
        <w:spacing w:after="100"/>
        <w:jc w:val="left"/>
      </w:pPr>
      <w:r>
        <w:rPr>
          <w:rFonts w:ascii="Arial" w:cs="Arial" w:eastAsia="Arial" w:hAnsi="Arial"/>
          <w:b/>
          <w:bCs/>
          <w:color w:val="1B2A4A"/>
          <w:sz w:val="44"/>
          <w:szCs w:val="44"/>
        </w:rPr>
        <w:t xml:space="preserve">Avant Imaging and Integrated Media</w:t>
      </w:r>
    </w:p>
    <w:p>
      <w:pPr>
        <w:spacing w:after="600"/>
        <w:jc w:val="left"/>
      </w:pPr>
      <w:r>
        <w:rPr>
          <w:rFonts w:ascii="Arial" w:cs="Arial" w:eastAsia="Arial" w:hAnsi="Arial"/>
          <w:color w:val="2E5090"/>
          <w:sz w:val="28"/>
          <w:szCs w:val="28"/>
        </w:rPr>
        <w:t xml:space="preserve">(The AIIM Group)</w:t>
      </w:r>
    </w:p>
    <w:p>
      <w:pPr>
        <w:spacing w:before="800" w:after="0"/>
      </w:pPr>
    </w:p>
    <w:p>
      <w:pPr>
        <w:jc w:val="left"/>
      </w:pPr>
      <w:r>
        <w:rPr>
          <w:rFonts w:ascii="Arial" w:cs="Arial" w:eastAsia="Arial" w:hAnsi="Arial"/>
          <w:color w:val="666666"/>
          <w:sz w:val="20"/>
          <w:szCs w:val="20"/>
        </w:rPr>
        <w:t xml:space="preserve">Prepared by Rob Williams, Chief AI Officer</w:t>
      </w:r>
    </w:p>
    <w:p>
      <w:pPr>
        <w:jc w:val="left"/>
      </w:pPr>
      <w:r>
        <w:rPr>
          <w:rFonts w:ascii="Arial" w:cs="Arial" w:eastAsia="Arial" w:hAnsi="Arial"/>
          <w:color w:val="666666"/>
          <w:sz w:val="20"/>
          <w:szCs w:val="20"/>
        </w:rPr>
        <w:t xml:space="preserve">February 2026</w:t>
      </w:r>
    </w:p>
    <w:p>
      <w:pPr>
        <w:spacing w:before="200"/>
        <w:jc w:val="left"/>
      </w:pPr>
      <w:r>
        <w:rPr>
          <w:rFonts w:ascii="Arial" w:cs="Arial" w:eastAsia="Arial" w:hAnsi="Arial"/>
          <w:i/>
          <w:iCs/>
          <w:color w:val="999999"/>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Executive Summary</w:t>
      </w:r>
    </w:p>
    <w:p>
      <w:pPr>
        <w:spacing w:before="60" w:after="60" w:line="276"/>
      </w:pPr>
      <w:r>
        <w:rPr>
          <w:rFonts w:ascii="Arial" w:cs="Arial" w:eastAsia="Arial" w:hAnsi="Arial"/>
          <w:color w:val="333333"/>
          <w:sz w:val="20"/>
          <w:szCs w:val="20"/>
        </w:rPr>
        <w:t xml:space="preserve">AIIM has built an impressive business through seven to eight strategic acquisitions over the past decade, growing to $40M in revenue and 205 employees. That growth, however, has come with a cost: each acquisition brought its own systems, workflows, and technical architecture, creating a fragmented landscape of legacy platforms operating independently.</w:t>
      </w:r>
    </w:p>
    <w:p>
      <w:pPr>
        <w:spacing w:before="60" w:after="0"/>
      </w:pPr>
    </w:p>
    <w:p>
      <w:pPr>
        <w:spacing w:before="60" w:after="60" w:line="276"/>
      </w:pPr>
      <w:r>
        <w:rPr>
          <w:rFonts w:ascii="Arial" w:cs="Arial" w:eastAsia="Arial" w:hAnsi="Arial"/>
          <w:color w:val="333333"/>
          <w:sz w:val="20"/>
          <w:szCs w:val="20"/>
        </w:rPr>
        <w:t xml:space="preserve">The result is an organization with enormous data assets and deep domain expertise - but without the consolidated infrastructure to fully leverage either. Business logic is scattered across systems. Tribal knowledge is trapped in people and processes. Single points of failure exist where they shouldn't. And AIIM is selling solutions rather than a platform - limiting repeatability, scalability, and margin.</w:t>
      </w:r>
    </w:p>
    <w:p>
      <w:pPr>
        <w:spacing w:before="60" w:after="0"/>
      </w:pPr>
    </w:p>
    <w:p>
      <w:pPr>
        <w:spacing w:before="60" w:after="60" w:line="276"/>
      </w:pPr>
      <w:r>
        <w:rPr>
          <w:rFonts w:ascii="Arial" w:cs="Arial" w:eastAsia="Arial" w:hAnsi="Arial"/>
          <w:color w:val="333333"/>
          <w:sz w:val="20"/>
          <w:szCs w:val="20"/>
        </w:rPr>
        <w:t xml:space="preserve">This proposal outlines a partnership between SoftHouse Advisory and AIIM to address these challenges through three parallel workstreams: real-time discovery to map and prioritize opportunities, legacy system investigation to understand and document what exists across all acquired entities, and training and enablement to build lasting organizational AI capability.</w:t>
      </w:r>
    </w:p>
    <w:p>
      <w:pPr>
        <w:spacing w:before="60" w:after="0"/>
      </w:pPr>
    </w:p>
    <w:p>
      <w:pPr>
        <w:spacing w:before="60" w:after="60" w:line="276"/>
      </w:pPr>
      <w:r>
        <w:rPr>
          <w:rFonts w:ascii="Arial" w:cs="Arial" w:eastAsia="Arial" w:hAnsi="Arial"/>
          <w:color w:val="333333"/>
          <w:sz w:val="20"/>
          <w:szCs w:val="20"/>
        </w:rPr>
        <w:t xml:space="preserve">Our approach delivers value from week one. We do not produce reports that sit on shelves. We deploy quick wins while conducting discovery, build understanding of your legacy landscape using AI-powered code and schema analysis tools, and ensure your team develops the skills to sustain and extend everything we build together.</w:t>
      </w:r>
    </w:p>
    <w:p>
      <w:pPr>
        <w:spacing w:before="60" w:after="0"/>
      </w:pPr>
    </w:p>
    <w:p>
      <w:pPr>
        <w:spacing w:before="60" w:after="60" w:line="276"/>
      </w:pPr>
      <w:r>
        <w:rPr>
          <w:rFonts w:ascii="Arial" w:cs="Arial" w:eastAsia="Arial" w:hAnsi="Arial"/>
          <w:color w:val="333333"/>
          <w:sz w:val="20"/>
          <w:szCs w:val="20"/>
        </w:rPr>
        <w:t xml:space="preserve">The goal is not to make AIIM dependent on SoftHouse. The goal is to build AIIM's internal capability so comprehensively that - within 18 months - </w:t>
      </w:r>
      <w:r>
        <w:rPr>
          <w:rFonts w:ascii="Arial" w:cs="Arial" w:eastAsia="Arial" w:hAnsi="Arial"/>
          <w:b/>
          <w:bCs/>
          <w:color w:val="1B2A4A"/>
          <w:sz w:val="20"/>
          <w:szCs w:val="20"/>
        </w:rPr>
        <w:t xml:space="preserve">you don't need us anymore.</w:t>
      </w:r>
    </w:p>
    <w:p>
      <w:r>
        <w:br w:type="page"/>
      </w:r>
    </w:p>
    <w:p>
      <w:pPr>
        <w:pStyle w:val="Heading1"/>
        <w:spacing w:before="360" w:after="200"/>
      </w:pPr>
      <w:r>
        <w:rPr>
          <w:rFonts w:ascii="Arial" w:cs="Arial" w:eastAsia="Arial" w:hAnsi="Arial"/>
          <w:b/>
          <w:bCs/>
          <w:color w:val="1B2A4A"/>
          <w:sz w:val="32"/>
          <w:szCs w:val="32"/>
        </w:rPr>
        <w:t xml:space="preserve">Understanding AIIM</w:t>
      </w:r>
    </w:p>
    <w:p>
      <w:pPr>
        <w:pStyle w:val="Heading2"/>
        <w:spacing w:before="280" w:after="160"/>
      </w:pPr>
      <w:r>
        <w:rPr>
          <w:rFonts w:ascii="Arial" w:cs="Arial" w:eastAsia="Arial" w:hAnsi="Arial"/>
          <w:b/>
          <w:bCs/>
          <w:color w:val="2E5090"/>
          <w:sz w:val="26"/>
          <w:szCs w:val="26"/>
        </w:rPr>
        <w:t xml:space="preserve">The Business</w:t>
      </w:r>
    </w:p>
    <w:p>
      <w:pPr>
        <w:spacing w:before="60" w:after="60" w:line="276"/>
      </w:pPr>
      <w:r>
        <w:rPr>
          <w:rFonts w:ascii="Arial" w:cs="Arial" w:eastAsia="Arial" w:hAnsi="Arial"/>
          <w:color w:val="333333"/>
          <w:sz w:val="20"/>
          <w:szCs w:val="20"/>
        </w:rPr>
        <w:t xml:space="preserve">Avant Imaging and Integrated Media is a Canadian leader in secure, data-driven communications. From facilities in Scarborough and Aurora, Ontario, AIIM serves over 150 enterprise clients across financial services, insurance, retail, non-profit, and government sectors.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sz="0"/>
              <w:left w:val="none" w:sz="0"/>
              <w:bottom w:val="none" w:sz="0"/>
              <w:right w:val="none" w:sz="0"/>
            </w:tcBorders>
            <w:shd w:fill="F5F5F5" w:val="clear"/>
            <w:tcMar>
              <w:top w:type="dxa" w:w="60"/>
              <w:left w:type="dxa" w:w="120"/>
              <w:bottom w:type="dxa" w:w="60"/>
              <w:right w:type="dxa" w:w="120"/>
            </w:tcMar>
          </w:tcPr>
          <w:p>
            <w:r>
              <w:rPr>
                <w:rFonts w:ascii="Arial" w:cs="Arial" w:eastAsia="Arial" w:hAnsi="Arial"/>
                <w:b/>
                <w:bCs/>
                <w:color w:val="1B2A4A"/>
                <w:sz w:val="20"/>
                <w:szCs w:val="20"/>
              </w:rPr>
              <w:t xml:space="preserve">Revenue</w:t>
            </w:r>
          </w:p>
        </w:tc>
        <w:tc>
          <w:tcPr>
            <w:tcW w:type="dxa" w:w="61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$40M annually</w:t>
            </w:r>
          </w:p>
        </w:tc>
      </w:tr>
      <w:tr>
        <w:tc>
          <w:tcPr>
            <w:tcW w:type="dxa" w:w="3200"/>
            <w:tcBorders>
              <w:top w:val="none" w:sz="0"/>
              <w:left w:val="none" w:sz="0"/>
              <w:bottom w:val="none" w:sz="0"/>
              <w:right w:val="none" w:sz="0"/>
            </w:tcBorders>
            <w:shd w:fill="F5F5F5" w:val="clear"/>
            <w:tcMar>
              <w:top w:type="dxa" w:w="60"/>
              <w:left w:type="dxa" w:w="120"/>
              <w:bottom w:type="dxa" w:w="60"/>
              <w:right w:type="dxa" w:w="120"/>
            </w:tcMar>
          </w:tcPr>
          <w:p>
            <w:r>
              <w:rPr>
                <w:rFonts w:ascii="Arial" w:cs="Arial" w:eastAsia="Arial" w:hAnsi="Arial"/>
                <w:b/>
                <w:bCs/>
                <w:color w:val="1B2A4A"/>
                <w:sz w:val="20"/>
                <w:szCs w:val="20"/>
              </w:rPr>
              <w:t xml:space="preserve">Employees</w:t>
            </w:r>
          </w:p>
        </w:tc>
        <w:tc>
          <w:tcPr>
            <w:tcW w:type="dxa" w:w="61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205 (approximately 100 production floor, 100 office)</w:t>
            </w:r>
          </w:p>
        </w:tc>
      </w:tr>
      <w:tr>
        <w:tc>
          <w:tcPr>
            <w:tcW w:type="dxa" w:w="3200"/>
            <w:tcBorders>
              <w:top w:val="none" w:sz="0"/>
              <w:left w:val="none" w:sz="0"/>
              <w:bottom w:val="none" w:sz="0"/>
              <w:right w:val="none" w:sz="0"/>
            </w:tcBorders>
            <w:shd w:fill="F5F5F5" w:val="clear"/>
            <w:tcMar>
              <w:top w:type="dxa" w:w="60"/>
              <w:left w:type="dxa" w:w="120"/>
              <w:bottom w:type="dxa" w:w="60"/>
              <w:right w:type="dxa" w:w="120"/>
            </w:tcMar>
          </w:tcPr>
          <w:p>
            <w:r>
              <w:rPr>
                <w:rFonts w:ascii="Arial" w:cs="Arial" w:eastAsia="Arial" w:hAnsi="Arial"/>
                <w:b/>
                <w:bCs/>
                <w:color w:val="1B2A4A"/>
                <w:sz w:val="20"/>
                <w:szCs w:val="20"/>
              </w:rPr>
              <w:t xml:space="preserve">Core Business</w:t>
            </w:r>
          </w:p>
        </w:tc>
        <w:tc>
          <w:tcPr>
            <w:tcW w:type="dxa" w:w="61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Print/mail execution from client data and composed PDFs (95% of revenue)</w:t>
            </w:r>
          </w:p>
        </w:tc>
      </w:tr>
      <w:tr>
        <w:tc>
          <w:tcPr>
            <w:tcW w:type="dxa" w:w="3200"/>
            <w:tcBorders>
              <w:top w:val="none" w:sz="0"/>
              <w:left w:val="none" w:sz="0"/>
              <w:bottom w:val="none" w:sz="0"/>
              <w:right w:val="none" w:sz="0"/>
            </w:tcBorders>
            <w:shd w:fill="F5F5F5" w:val="clear"/>
            <w:tcMar>
              <w:top w:type="dxa" w:w="60"/>
              <w:left w:type="dxa" w:w="120"/>
              <w:bottom w:type="dxa" w:w="60"/>
              <w:right w:type="dxa" w:w="120"/>
            </w:tcMar>
          </w:tcPr>
          <w:p>
            <w:r>
              <w:rPr>
                <w:rFonts w:ascii="Arial" w:cs="Arial" w:eastAsia="Arial" w:hAnsi="Arial"/>
                <w:b/>
                <w:bCs/>
                <w:color w:val="1B2A4A"/>
                <w:sz w:val="20"/>
                <w:szCs w:val="20"/>
              </w:rPr>
              <w:t xml:space="preserve">Growth Channels</w:t>
            </w:r>
          </w:p>
        </w:tc>
        <w:tc>
          <w:tcPr>
            <w:tcW w:type="dxa" w:w="61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Email, SMS, and digital delivery (omnichannel expansion)</w:t>
            </w:r>
          </w:p>
        </w:tc>
      </w:tr>
      <w:tr>
        <w:tc>
          <w:tcPr>
            <w:tcW w:type="dxa" w:w="3200"/>
            <w:tcBorders>
              <w:top w:val="none" w:sz="0"/>
              <w:left w:val="none" w:sz="0"/>
              <w:bottom w:val="none" w:sz="0"/>
              <w:right w:val="none" w:sz="0"/>
            </w:tcBorders>
            <w:shd w:fill="F5F5F5" w:val="clear"/>
            <w:tcMar>
              <w:top w:type="dxa" w:w="60"/>
              <w:left w:type="dxa" w:w="120"/>
              <w:bottom w:type="dxa" w:w="60"/>
              <w:right w:type="dxa" w:w="120"/>
            </w:tcMar>
          </w:tcPr>
          <w:p>
            <w:r>
              <w:rPr>
                <w:rFonts w:ascii="Arial" w:cs="Arial" w:eastAsia="Arial" w:hAnsi="Arial"/>
                <w:b/>
                <w:bCs/>
                <w:color w:val="1B2A4A"/>
                <w:sz w:val="20"/>
                <w:szCs w:val="20"/>
              </w:rPr>
              <w:t xml:space="preserve">Compliance</w:t>
            </w:r>
          </w:p>
        </w:tc>
        <w:tc>
          <w:tcPr>
            <w:tcW w:type="dxa" w:w="61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50%+ of business is compliance communications for banks and insurance</w:t>
            </w:r>
          </w:p>
        </w:tc>
      </w:tr>
      <w:tr>
        <w:tc>
          <w:tcPr>
            <w:tcW w:type="dxa" w:w="3200"/>
            <w:tcBorders>
              <w:top w:val="none" w:sz="0"/>
              <w:left w:val="none" w:sz="0"/>
              <w:bottom w:val="none" w:sz="0"/>
              <w:right w:val="none" w:sz="0"/>
            </w:tcBorders>
            <w:shd w:fill="F5F5F5" w:val="clear"/>
            <w:tcMar>
              <w:top w:type="dxa" w:w="60"/>
              <w:left w:type="dxa" w:w="120"/>
              <w:bottom w:type="dxa" w:w="60"/>
              <w:right w:type="dxa" w:w="120"/>
            </w:tcMar>
          </w:tcPr>
          <w:p>
            <w:r>
              <w:rPr>
                <w:rFonts w:ascii="Arial" w:cs="Arial" w:eastAsia="Arial" w:hAnsi="Arial"/>
                <w:b/>
                <w:bCs/>
                <w:color w:val="1B2A4A"/>
                <w:sz w:val="20"/>
                <w:szCs w:val="20"/>
              </w:rPr>
              <w:t xml:space="preserve">Additional Lines</w:t>
            </w:r>
          </w:p>
        </w:tc>
        <w:tc>
          <w:tcPr>
            <w:tcW w:type="dxa" w:w="61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Large format printing and commercial print</w:t>
            </w:r>
          </w:p>
        </w:tc>
      </w:tr>
      <w:tr>
        <w:tc>
          <w:tcPr>
            <w:tcW w:type="dxa" w:w="3200"/>
            <w:tcBorders>
              <w:top w:val="none" w:sz="0"/>
              <w:left w:val="none" w:sz="0"/>
              <w:bottom w:val="none" w:sz="0"/>
              <w:right w:val="none" w:sz="0"/>
            </w:tcBorders>
            <w:shd w:fill="F5F5F5" w:val="clear"/>
            <w:tcMar>
              <w:top w:type="dxa" w:w="60"/>
              <w:left w:type="dxa" w:w="120"/>
              <w:bottom w:type="dxa" w:w="60"/>
              <w:right w:type="dxa" w:w="120"/>
            </w:tcMar>
          </w:tcPr>
          <w:p>
            <w:r>
              <w:rPr>
                <w:rFonts w:ascii="Arial" w:cs="Arial" w:eastAsia="Arial" w:hAnsi="Arial"/>
                <w:b/>
                <w:bCs/>
                <w:color w:val="1B2A4A"/>
                <w:sz w:val="20"/>
                <w:szCs w:val="20"/>
              </w:rPr>
              <w:t xml:space="preserve">Certifications</w:t>
            </w:r>
          </w:p>
        </w:tc>
        <w:tc>
          <w:tcPr>
            <w:tcW w:type="dxa" w:w="61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SOC 2 Type II, ISO 9001</w:t>
            </w:r>
          </w:p>
        </w:tc>
      </w:tr>
      <w:tr>
        <w:tc>
          <w:tcPr>
            <w:tcW w:type="dxa" w:w="3200"/>
            <w:tcBorders>
              <w:top w:val="none" w:sz="0"/>
              <w:left w:val="none" w:sz="0"/>
              <w:bottom w:val="none" w:sz="0"/>
              <w:right w:val="none" w:sz="0"/>
            </w:tcBorders>
            <w:shd w:fill="F5F5F5" w:val="clear"/>
            <w:tcMar>
              <w:top w:type="dxa" w:w="60"/>
              <w:left w:type="dxa" w:w="120"/>
              <w:bottom w:type="dxa" w:w="60"/>
              <w:right w:type="dxa" w:w="120"/>
            </w:tcMar>
          </w:tcPr>
          <w:p>
            <w:r>
              <w:rPr>
                <w:rFonts w:ascii="Arial" w:cs="Arial" w:eastAsia="Arial" w:hAnsi="Arial"/>
                <w:b/>
                <w:bCs/>
                <w:color w:val="1B2A4A"/>
                <w:sz w:val="20"/>
                <w:szCs w:val="20"/>
              </w:rPr>
              <w:t xml:space="preserve">Ownership</w:t>
            </w:r>
          </w:p>
        </w:tc>
        <w:tc>
          <w:tcPr>
            <w:tcW w:type="dxa" w:w="61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Backed by Vegvisir Capital (majority growth investment, 2022)</w:t>
            </w:r>
          </w:p>
        </w:tc>
      </w:tr>
    </w:tbl>
    <w:p>
      <w:pPr>
        <w:pStyle w:val="Heading2"/>
        <w:spacing w:before="280" w:after="160"/>
      </w:pPr>
      <w:r>
        <w:rPr>
          <w:rFonts w:ascii="Arial" w:cs="Arial" w:eastAsia="Arial" w:hAnsi="Arial"/>
          <w:b/>
          <w:bCs/>
          <w:color w:val="2E5090"/>
          <w:sz w:val="26"/>
          <w:szCs w:val="26"/>
        </w:rPr>
        <w:t xml:space="preserve">The Challenge</w:t>
      </w:r>
    </w:p>
    <w:p>
      <w:pPr>
        <w:spacing w:before="60" w:after="60" w:line="276"/>
      </w:pPr>
      <w:r>
        <w:rPr>
          <w:rFonts w:ascii="Arial" w:cs="Arial" w:eastAsia="Arial" w:hAnsi="Arial"/>
          <w:color w:val="333333"/>
          <w:sz w:val="20"/>
          <w:szCs w:val="20"/>
        </w:rPr>
        <w:t xml:space="preserve">Seven to eight acquisitions have created extraordinary breadth - but also significant fragmentation:</w:t>
      </w:r>
    </w:p>
    <w:p>
      <w:pPr>
        <w:pStyle w:val="ListParagraph"/>
        <w:numPr>
          <w:ilvl w:val="0"/>
          <w:numId w:val="2"/>
        </w:numPr>
        <w:spacing w:before="40" w:after="40" w:line="276"/>
      </w:pPr>
      <w:r>
        <w:rPr>
          <w:rFonts w:ascii="Arial" w:cs="Arial" w:eastAsia="Arial" w:hAnsi="Arial"/>
          <w:color w:val="333333"/>
          <w:sz w:val="20"/>
          <w:szCs w:val="20"/>
        </w:rPr>
        <w:t xml:space="preserve">Legacy systems built independently by each acquired company, with no post-acquisition consolidation</w:t>
      </w:r>
    </w:p>
    <w:p>
      <w:pPr>
        <w:pStyle w:val="ListParagraph"/>
        <w:numPr>
          <w:ilvl w:val="0"/>
          <w:numId w:val="2"/>
        </w:numPr>
        <w:spacing w:before="40" w:after="40" w:line="276"/>
      </w:pPr>
      <w:r>
        <w:rPr>
          <w:rFonts w:ascii="Arial" w:cs="Arial" w:eastAsia="Arial" w:hAnsi="Arial"/>
          <w:color w:val="333333"/>
          <w:sz w:val="20"/>
          <w:szCs w:val="20"/>
        </w:rPr>
        <w:t xml:space="preserve">Single points of failure where tribal knowledge is trapped in systems and individuals</w:t>
      </w:r>
    </w:p>
    <w:p>
      <w:pPr>
        <w:pStyle w:val="ListParagraph"/>
        <w:numPr>
          <w:ilvl w:val="0"/>
          <w:numId w:val="2"/>
        </w:numPr>
        <w:spacing w:before="40" w:after="40" w:line="276"/>
      </w:pPr>
      <w:r>
        <w:rPr>
          <w:rFonts w:ascii="Arial" w:cs="Arial" w:eastAsia="Arial" w:hAnsi="Arial"/>
          <w:color w:val="333333"/>
          <w:sz w:val="20"/>
          <w:szCs w:val="20"/>
        </w:rPr>
        <w:t xml:space="preserve">Business logic scattered across platforms - rules defined in one system, executed in another</w:t>
      </w:r>
    </w:p>
    <w:p>
      <w:pPr>
        <w:pStyle w:val="ListParagraph"/>
        <w:numPr>
          <w:ilvl w:val="0"/>
          <w:numId w:val="2"/>
        </w:numPr>
        <w:spacing w:before="40" w:after="40" w:line="276"/>
      </w:pPr>
      <w:r>
        <w:rPr>
          <w:rFonts w:ascii="Arial" w:cs="Arial" w:eastAsia="Arial" w:hAnsi="Arial"/>
          <w:color w:val="333333"/>
          <w:sz w:val="20"/>
          <w:szCs w:val="20"/>
        </w:rPr>
        <w:t xml:space="preserve">A solutions-based sales model rather than a platform model, limiting repeatability and scale</w:t>
      </w:r>
    </w:p>
    <w:p>
      <w:pPr>
        <w:pStyle w:val="ListParagraph"/>
        <w:numPr>
          <w:ilvl w:val="0"/>
          <w:numId w:val="2"/>
        </w:numPr>
        <w:spacing w:before="40" w:after="40" w:line="276"/>
      </w:pPr>
      <w:r>
        <w:rPr>
          <w:rFonts w:ascii="Arial" w:cs="Arial" w:eastAsia="Arial" w:hAnsi="Arial"/>
          <w:color w:val="333333"/>
          <w:sz w:val="20"/>
          <w:szCs w:val="20"/>
        </w:rPr>
        <w:t xml:space="preserve">Limited organizational AI literacy beyond leadership</w:t>
      </w:r>
    </w:p>
    <w:p>
      <w:pPr>
        <w:pStyle w:val="ListParagraph"/>
        <w:numPr>
          <w:ilvl w:val="0"/>
          <w:numId w:val="2"/>
        </w:numPr>
        <w:spacing w:before="40" w:after="40" w:line="276"/>
      </w:pPr>
      <w:r>
        <w:rPr>
          <w:rFonts w:ascii="Arial" w:cs="Arial" w:eastAsia="Arial" w:hAnsi="Arial"/>
          <w:color w:val="333333"/>
          <w:sz w:val="20"/>
          <w:szCs w:val="20"/>
        </w:rPr>
        <w:t xml:space="preserve">Compliance constraints that require thoughtful governance before any experimentation</w:t>
      </w:r>
    </w:p>
    <w:p>
      <w:pPr>
        <w:pStyle w:val="Heading2"/>
        <w:spacing w:before="280" w:after="160"/>
      </w:pPr>
      <w:r>
        <w:rPr>
          <w:rFonts w:ascii="Arial" w:cs="Arial" w:eastAsia="Arial" w:hAnsi="Arial"/>
          <w:b/>
          <w:bCs/>
          <w:color w:val="2E5090"/>
          <w:sz w:val="26"/>
          <w:szCs w:val="26"/>
        </w:rPr>
        <w:t xml:space="preserve">The Opportunity</w:t>
      </w:r>
    </w:p>
    <w:p>
      <w:pPr>
        <w:spacing w:before="60" w:after="60" w:line="276"/>
      </w:pPr>
      <w:r>
        <w:rPr>
          <w:rFonts w:ascii="Arial" w:cs="Arial" w:eastAsia="Arial" w:hAnsi="Arial"/>
          <w:color w:val="333333"/>
          <w:sz w:val="20"/>
          <w:szCs w:val="20"/>
        </w:rPr>
        <w:t xml:space="preserve">In our initial conversation, Patrick and David articulated a clear vision for AIIM's next chapter:</w:t>
      </w:r>
    </w:p>
    <w:p>
      <w:pPr>
        <w:pStyle w:val="ListParagraph"/>
        <w:numPr>
          <w:ilvl w:val="0"/>
          <w:numId w:val="3"/>
        </w:numPr>
        <w:spacing w:before="40" w:after="40" w:line="276"/>
      </w:pPr>
      <w:r>
        <w:rPr>
          <w:rFonts w:ascii="Arial" w:cs="Arial" w:eastAsia="Arial" w:hAnsi="Arial"/>
          <w:b/>
          <w:bCs/>
          <w:color w:val="333333"/>
          <w:sz w:val="20"/>
          <w:szCs w:val="20"/>
        </w:rPr>
        <w:t xml:space="preserve">Expedite the conversion </w:t>
      </w:r>
      <w:r>
        <w:rPr>
          <w:rFonts w:ascii="Arial" w:cs="Arial" w:eastAsia="Arial" w:hAnsi="Arial"/>
          <w:color w:val="333333"/>
          <w:sz w:val="20"/>
          <w:szCs w:val="20"/>
        </w:rPr>
        <w:t xml:space="preserve">of legacy processes into a consolidated, standardized platform</w:t>
      </w:r>
    </w:p>
    <w:p>
      <w:pPr>
        <w:pStyle w:val="ListParagraph"/>
        <w:numPr>
          <w:ilvl w:val="0"/>
          <w:numId w:val="3"/>
        </w:numPr>
        <w:spacing w:before="40" w:after="40" w:line="276"/>
      </w:pPr>
      <w:r>
        <w:rPr>
          <w:rFonts w:ascii="Arial" w:cs="Arial" w:eastAsia="Arial" w:hAnsi="Arial"/>
          <w:b/>
          <w:bCs/>
          <w:color w:val="333333"/>
          <w:sz w:val="20"/>
          <w:szCs w:val="20"/>
        </w:rPr>
        <w:t xml:space="preserve">Build proactive data products </w:t>
      </w:r>
      <w:r>
        <w:rPr>
          <w:rFonts w:ascii="Arial" w:cs="Arial" w:eastAsia="Arial" w:hAnsi="Arial"/>
          <w:color w:val="333333"/>
          <w:sz w:val="20"/>
          <w:szCs w:val="20"/>
        </w:rPr>
        <w:t xml:space="preserve">and dashboards for clients - shifting from reactive service delivery to proactive intelligence</w:t>
      </w:r>
    </w:p>
    <w:p>
      <w:pPr>
        <w:pStyle w:val="ListParagraph"/>
        <w:numPr>
          <w:ilvl w:val="0"/>
          <w:numId w:val="3"/>
        </w:numPr>
        <w:spacing w:before="40" w:after="40" w:line="276"/>
      </w:pPr>
      <w:r>
        <w:rPr>
          <w:rFonts w:ascii="Arial" w:cs="Arial" w:eastAsia="Arial" w:hAnsi="Arial"/>
          <w:b/>
          <w:bCs/>
          <w:color w:val="333333"/>
          <w:sz w:val="20"/>
          <w:szCs w:val="20"/>
        </w:rPr>
        <w:t xml:space="preserve">Discover correlations and insights </w:t>
      </w:r>
      <w:r>
        <w:rPr>
          <w:rFonts w:ascii="Arial" w:cs="Arial" w:eastAsia="Arial" w:hAnsi="Arial"/>
          <w:color w:val="333333"/>
          <w:sz w:val="20"/>
          <w:szCs w:val="20"/>
        </w:rPr>
        <w:t xml:space="preserve">across the data AIIM already handles on behalf of its clients</w:t>
      </w:r>
    </w:p>
    <w:p>
      <w:pPr>
        <w:pStyle w:val="ListParagraph"/>
        <w:numPr>
          <w:ilvl w:val="0"/>
          <w:numId w:val="3"/>
        </w:numPr>
        <w:spacing w:before="40" w:after="40" w:line="276"/>
      </w:pPr>
      <w:r>
        <w:rPr>
          <w:rFonts w:ascii="Arial" w:cs="Arial" w:eastAsia="Arial" w:hAnsi="Arial"/>
          <w:b/>
          <w:bCs/>
          <w:color w:val="333333"/>
          <w:sz w:val="20"/>
          <w:szCs w:val="20"/>
        </w:rPr>
        <w:t xml:space="preserve">Shift from solution-selling to platform-selling </w:t>
      </w:r>
      <w:r>
        <w:rPr>
          <w:rFonts w:ascii="Arial" w:cs="Arial" w:eastAsia="Arial" w:hAnsi="Arial"/>
          <w:color w:val="333333"/>
          <w:sz w:val="20"/>
          <w:szCs w:val="20"/>
        </w:rPr>
        <w:t xml:space="preserve">- increasing repeatability, margin, and scalability</w:t>
      </w:r>
    </w:p>
    <w:p>
      <w:pPr>
        <w:spacing w:before="60" w:after="0"/>
      </w:pPr>
    </w:p>
    <w:p>
      <w:pPr>
        <w:spacing w:before="60" w:after="60" w:line="276"/>
      </w:pPr>
      <w:r>
        <w:rPr>
          <w:rFonts w:ascii="Arial" w:cs="Arial" w:eastAsia="Arial" w:hAnsi="Arial"/>
          <w:color w:val="333333"/>
          <w:sz w:val="20"/>
          <w:szCs w:val="20"/>
        </w:rPr>
        <w:t xml:space="preserve">SoftHouse is proposing a structured engagement to pursue all four of these objectives - beginning with what matters most right now: understanding what you have, and building your team's capability to transform it.</w:t>
      </w:r>
    </w:p>
    <w:p>
      <w:r>
        <w:br w:type="page"/>
      </w:r>
    </w:p>
    <w:p>
      <w:pPr>
        <w:pStyle w:val="Heading1"/>
        <w:spacing w:before="360" w:after="200"/>
      </w:pPr>
      <w:r>
        <w:rPr>
          <w:rFonts w:ascii="Arial" w:cs="Arial" w:eastAsia="Arial" w:hAnsi="Arial"/>
          <w:b/>
          <w:bCs/>
          <w:color w:val="1B2A4A"/>
          <w:sz w:val="32"/>
          <w:szCs w:val="32"/>
        </w:rPr>
        <w:t xml:space="preserve">Our Approach</w:t>
      </w:r>
    </w:p>
    <w:p>
      <w:pPr>
        <w:spacing w:before="60" w:after="60" w:line="276"/>
      </w:pPr>
      <w:r>
        <w:rPr>
          <w:rFonts w:ascii="Arial" w:cs="Arial" w:eastAsia="Arial" w:hAnsi="Arial"/>
          <w:color w:val="333333"/>
          <w:sz w:val="20"/>
          <w:szCs w:val="20"/>
        </w:rPr>
        <w:t xml:space="preserve">We propose a phased engagement that begins with an executive alignment workshop, moves into an eight-week initial engagement with three overlapping workstreams, and transitions into a monthly retainer for ongoing implementation and scale.</w:t>
      </w:r>
    </w:p>
    <w:p>
      <w:pPr>
        <w:pStyle w:val="Heading2"/>
        <w:spacing w:before="280" w:after="160"/>
      </w:pPr>
      <w:r>
        <w:rPr>
          <w:rFonts w:ascii="Arial" w:cs="Arial" w:eastAsia="Arial" w:hAnsi="Arial"/>
          <w:b/>
          <w:bCs/>
          <w:color w:val="2E5090"/>
          <w:sz w:val="26"/>
          <w:szCs w:val="26"/>
        </w:rPr>
        <w:t xml:space="preserve">Phase 0: Executive Alignment Workshop</w:t>
      </w:r>
    </w:p>
    <w:p>
      <w:pPr>
        <w:spacing w:before="60" w:after="60" w:line="276"/>
      </w:pPr>
      <w:r>
        <w:rPr>
          <w:rFonts w:ascii="Arial" w:cs="Arial" w:eastAsia="Arial" w:hAnsi="Arial"/>
          <w:color w:val="333333"/>
          <w:sz w:val="20"/>
          <w:szCs w:val="20"/>
        </w:rPr>
        <w:t xml:space="preserve">A one-day, on-site session with AIIM's leadership team and key department heads.</w:t>
      </w:r>
    </w:p>
    <w:p>
      <w:pPr>
        <w:spacing w:before="60" w:after="0"/>
      </w:pPr>
    </w:p>
    <w:p>
      <w:pPr>
        <w:pStyle w:val="ListParagraph"/>
        <w:numPr>
          <w:ilvl w:val="0"/>
          <w:numId w:val="2"/>
        </w:numPr>
        <w:spacing w:before="40" w:after="40" w:line="276"/>
      </w:pPr>
      <w:r>
        <w:rPr>
          <w:rFonts w:ascii="Arial" w:cs="Arial" w:eastAsia="Arial" w:hAnsi="Arial"/>
          <w:b/>
          <w:bCs/>
          <w:color w:val="333333"/>
          <w:sz w:val="20"/>
          <w:szCs w:val="20"/>
        </w:rPr>
        <w:t xml:space="preserve">Live demonstrations </w:t>
      </w:r>
      <w:r>
        <w:rPr>
          <w:rFonts w:ascii="Arial" w:cs="Arial" w:eastAsia="Arial" w:hAnsi="Arial"/>
          <w:color w:val="333333"/>
          <w:sz w:val="20"/>
          <w:szCs w:val="20"/>
        </w:rPr>
        <w:t xml:space="preserve">of AI capabilities using Cowork and Claude Code on real-world scenarios relevant to AIIM's business - print/mail workflows, compliance documents, data processing</w:t>
      </w:r>
    </w:p>
    <w:p>
      <w:pPr>
        <w:pStyle w:val="ListParagraph"/>
        <w:numPr>
          <w:ilvl w:val="0"/>
          <w:numId w:val="2"/>
        </w:numPr>
        <w:spacing w:before="40" w:after="40" w:line="276"/>
      </w:pPr>
      <w:r>
        <w:rPr>
          <w:rFonts w:ascii="Arial" w:cs="Arial" w:eastAsia="Arial" w:hAnsi="Arial"/>
          <w:b/>
          <w:bCs/>
          <w:color w:val="333333"/>
          <w:sz w:val="20"/>
          <w:szCs w:val="20"/>
        </w:rPr>
        <w:t xml:space="preserve">Art of the possible </w:t>
      </w:r>
      <w:r>
        <w:rPr>
          <w:rFonts w:ascii="Arial" w:cs="Arial" w:eastAsia="Arial" w:hAnsi="Arial"/>
          <w:color w:val="333333"/>
          <w:sz w:val="20"/>
          <w:szCs w:val="20"/>
        </w:rPr>
        <w:t xml:space="preserve">session tailored to AIIM's specific context, showing what AI can do today across your operations</w:t>
      </w:r>
    </w:p>
    <w:p>
      <w:pPr>
        <w:pStyle w:val="ListParagraph"/>
        <w:numPr>
          <w:ilvl w:val="0"/>
          <w:numId w:val="2"/>
        </w:numPr>
        <w:spacing w:before="40" w:after="40" w:line="276"/>
      </w:pPr>
      <w:r>
        <w:rPr>
          <w:rFonts w:ascii="Arial" w:cs="Arial" w:eastAsia="Arial" w:hAnsi="Arial"/>
          <w:b/>
          <w:bCs/>
          <w:color w:val="333333"/>
          <w:sz w:val="20"/>
          <w:szCs w:val="20"/>
        </w:rPr>
        <w:t xml:space="preserve">Priority mapping </w:t>
      </w:r>
      <w:r>
        <w:rPr>
          <w:rFonts w:ascii="Arial" w:cs="Arial" w:eastAsia="Arial" w:hAnsi="Arial"/>
          <w:color w:val="333333"/>
          <w:sz w:val="20"/>
          <w:szCs w:val="20"/>
        </w:rPr>
        <w:t xml:space="preserve">- aligning organizational objectives against AI opportunity areas</w:t>
      </w:r>
    </w:p>
    <w:p>
      <w:pPr>
        <w:pStyle w:val="ListParagraph"/>
        <w:numPr>
          <w:ilvl w:val="0"/>
          <w:numId w:val="2"/>
        </w:numPr>
        <w:spacing w:before="40" w:after="40" w:line="276"/>
      </w:pPr>
      <w:r>
        <w:rPr>
          <w:rFonts w:ascii="Arial" w:cs="Arial" w:eastAsia="Arial" w:hAnsi="Arial"/>
          <w:b/>
          <w:bCs/>
          <w:color w:val="333333"/>
          <w:sz w:val="20"/>
          <w:szCs w:val="20"/>
        </w:rPr>
        <w:t xml:space="preserve">Champion identification </w:t>
      </w:r>
      <w:r>
        <w:rPr>
          <w:rFonts w:ascii="Arial" w:cs="Arial" w:eastAsia="Arial" w:hAnsi="Arial"/>
          <w:color w:val="333333"/>
          <w:sz w:val="20"/>
          <w:szCs w:val="20"/>
        </w:rPr>
        <w:t xml:space="preserve">- finding the internal leaders who will drive adoption beyond the workshop</w:t>
      </w:r>
    </w:p>
    <w:p>
      <w:pPr>
        <w:pStyle w:val="ListParagraph"/>
        <w:numPr>
          <w:ilvl w:val="0"/>
          <w:numId w:val="2"/>
        </w:numPr>
        <w:spacing w:before="40" w:after="40" w:line="276"/>
      </w:pPr>
      <w:r>
        <w:rPr>
          <w:rFonts w:ascii="Arial" w:cs="Arial" w:eastAsia="Arial" w:hAnsi="Arial"/>
          <w:b/>
          <w:bCs/>
          <w:color w:val="333333"/>
          <w:sz w:val="20"/>
          <w:szCs w:val="20"/>
        </w:rPr>
        <w:t xml:space="preserve">Success criteria alignment </w:t>
      </w:r>
      <w:r>
        <w:rPr>
          <w:rFonts w:ascii="Arial" w:cs="Arial" w:eastAsia="Arial" w:hAnsi="Arial"/>
          <w:color w:val="333333"/>
          <w:sz w:val="20"/>
          <w:szCs w:val="20"/>
        </w:rPr>
        <w:t xml:space="preserve">- agreeing on what good looks like before the main engagement begins</w:t>
      </w:r>
    </w:p>
    <w:p>
      <w:pPr>
        <w:spacing w:before="60" w:after="0"/>
      </w:pPr>
    </w:p>
    <w:p>
      <w:pPr>
        <w:spacing w:before="60" w:after="60" w:line="276"/>
      </w:pPr>
      <w:r>
        <w:rPr>
          <w:rFonts w:ascii="Arial" w:cs="Arial" w:eastAsia="Arial" w:hAnsi="Arial"/>
          <w:b/>
          <w:bCs/>
          <w:color w:val="1B2A4A"/>
          <w:sz w:val="20"/>
          <w:szCs w:val="20"/>
        </w:rPr>
        <w:t xml:space="preserve">Deliverable: </w:t>
      </w:r>
      <w:r>
        <w:rPr>
          <w:rFonts w:ascii="Arial" w:cs="Arial" w:eastAsia="Arial" w:hAnsi="Arial"/>
          <w:color w:val="333333"/>
          <w:sz w:val="20"/>
          <w:szCs w:val="20"/>
        </w:rPr>
        <w:t xml:space="preserve">Workshop summary with prioritized opportunity areas and agreed scope for the initial engagement.</w:t>
      </w:r>
    </w:p>
    <w:p>
      <w:pPr>
        <w:spacing w:before="60" w:after="0"/>
      </w:pPr>
    </w:p>
    <w:p>
      <w:pPr>
        <w:spacing w:before="60" w:after="60" w:line="276"/>
      </w:pPr>
      <w:r>
        <w:rPr>
          <w:rFonts w:ascii="Arial" w:cs="Arial" w:eastAsia="Arial" w:hAnsi="Arial"/>
          <w:color w:val="333333"/>
          <w:sz w:val="20"/>
          <w:szCs w:val="20"/>
        </w:rPr>
        <w:t xml:space="preserve">This workshop serves as a low-commitment entry point. It gives AIIM a concrete sense of what working with SoftHouse looks like, and gives us the context to scope the initial engagement precisely.</w:t>
      </w:r>
    </w:p>
    <w:p>
      <w:r>
        <w:br w:type="page"/>
      </w:r>
    </w:p>
    <w:p>
      <w:pPr>
        <w:pStyle w:val="Heading2"/>
        <w:spacing w:before="280" w:after="160"/>
      </w:pPr>
      <w:r>
        <w:rPr>
          <w:rFonts w:ascii="Arial" w:cs="Arial" w:eastAsia="Arial" w:hAnsi="Arial"/>
          <w:b/>
          <w:bCs/>
          <w:color w:val="2E5090"/>
          <w:sz w:val="26"/>
          <w:szCs w:val="26"/>
        </w:rPr>
        <w:t xml:space="preserve">Phase 1: Initial Engagement (8 Weeks)</w:t>
      </w:r>
    </w:p>
    <w:p>
      <w:pPr>
        <w:spacing w:before="60" w:after="60" w:line="276"/>
      </w:pPr>
      <w:r>
        <w:rPr>
          <w:rFonts w:ascii="Arial" w:cs="Arial" w:eastAsia="Arial" w:hAnsi="Arial"/>
          <w:color w:val="333333"/>
          <w:sz w:val="20"/>
          <w:szCs w:val="20"/>
        </w:rPr>
        <w:t xml:space="preserve">The initial engagement runs three overlapping workstreams across eight weeks. Each workstream starts when the preceding work has generated enough context to make it effective - not before.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93"/>
        <w:gridCol w:w="893"/>
        <w:gridCol w:w="893"/>
        <w:gridCol w:w="893"/>
        <w:gridCol w:w="893"/>
        <w:gridCol w:w="893"/>
        <w:gridCol w:w="893"/>
        <w:gridCol w:w="893"/>
      </w:tblGrid>
      <w:tr>
        <w:tc>
          <w:tcPr>
            <w:tcW w:type="dxa" w:w="2200"/>
            <w:tcBorders>
              <w:top w:val="single" w:color="CCCCCC" w:sz="1"/>
              <w:left w:val="single" w:color="CCCCCC" w:sz="1"/>
              <w:bottom w:val="single" w:color="CCCCCC" w:sz="1"/>
              <w:right w:val="single" w:color="CCCCCC" w:sz="1"/>
            </w:tcBorders>
            <w:shd w:fill="1B2A4A" w:val="clear"/>
            <w:tcMar>
              <w:top w:type="dxa" w:w="40"/>
              <w:left w:type="dxa" w:w="60"/>
              <w:bottom w:type="dxa" w:w="40"/>
              <w:right w:type="dxa" w:w="60"/>
            </w:tcMar>
          </w:tcPr>
          <w:p>
            <w:pPr>
              <w:jc w:val="left"/>
            </w:pPr>
            <w:r>
              <w:rPr>
                <w:rFonts w:ascii="Arial" w:cs="Arial" w:eastAsia="Arial" w:hAnsi="Arial"/>
                <w:b/>
                <w:bCs/>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1B2A4A"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Wk 1</w:t>
            </w:r>
          </w:p>
        </w:tc>
        <w:tc>
          <w:tcPr>
            <w:tcW w:type="dxa" w:w="893"/>
            <w:tcBorders>
              <w:top w:val="single" w:color="CCCCCC" w:sz="1"/>
              <w:left w:val="single" w:color="CCCCCC" w:sz="1"/>
              <w:bottom w:val="single" w:color="CCCCCC" w:sz="1"/>
              <w:right w:val="single" w:color="CCCCCC" w:sz="1"/>
            </w:tcBorders>
            <w:shd w:fill="1B2A4A"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Wk 2</w:t>
            </w:r>
          </w:p>
        </w:tc>
        <w:tc>
          <w:tcPr>
            <w:tcW w:type="dxa" w:w="893"/>
            <w:tcBorders>
              <w:top w:val="single" w:color="CCCCCC" w:sz="1"/>
              <w:left w:val="single" w:color="CCCCCC" w:sz="1"/>
              <w:bottom w:val="single" w:color="CCCCCC" w:sz="1"/>
              <w:right w:val="single" w:color="CCCCCC" w:sz="1"/>
            </w:tcBorders>
            <w:shd w:fill="1B2A4A"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Wk 3</w:t>
            </w:r>
          </w:p>
        </w:tc>
        <w:tc>
          <w:tcPr>
            <w:tcW w:type="dxa" w:w="893"/>
            <w:tcBorders>
              <w:top w:val="single" w:color="CCCCCC" w:sz="1"/>
              <w:left w:val="single" w:color="CCCCCC" w:sz="1"/>
              <w:bottom w:val="single" w:color="CCCCCC" w:sz="1"/>
              <w:right w:val="single" w:color="CCCCCC" w:sz="1"/>
            </w:tcBorders>
            <w:shd w:fill="1B2A4A"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Wk 4</w:t>
            </w:r>
          </w:p>
        </w:tc>
        <w:tc>
          <w:tcPr>
            <w:tcW w:type="dxa" w:w="893"/>
            <w:tcBorders>
              <w:top w:val="single" w:color="CCCCCC" w:sz="1"/>
              <w:left w:val="single" w:color="CCCCCC" w:sz="1"/>
              <w:bottom w:val="single" w:color="CCCCCC" w:sz="1"/>
              <w:right w:val="single" w:color="CCCCCC" w:sz="1"/>
            </w:tcBorders>
            <w:shd w:fill="1B2A4A"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Wk 5</w:t>
            </w:r>
          </w:p>
        </w:tc>
        <w:tc>
          <w:tcPr>
            <w:tcW w:type="dxa" w:w="893"/>
            <w:tcBorders>
              <w:top w:val="single" w:color="CCCCCC" w:sz="1"/>
              <w:left w:val="single" w:color="CCCCCC" w:sz="1"/>
              <w:bottom w:val="single" w:color="CCCCCC" w:sz="1"/>
              <w:right w:val="single" w:color="CCCCCC" w:sz="1"/>
            </w:tcBorders>
            <w:shd w:fill="1B2A4A"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Wk 6</w:t>
            </w:r>
          </w:p>
        </w:tc>
        <w:tc>
          <w:tcPr>
            <w:tcW w:type="dxa" w:w="893"/>
            <w:tcBorders>
              <w:top w:val="single" w:color="CCCCCC" w:sz="1"/>
              <w:left w:val="single" w:color="CCCCCC" w:sz="1"/>
              <w:bottom w:val="single" w:color="CCCCCC" w:sz="1"/>
              <w:right w:val="single" w:color="CCCCCC" w:sz="1"/>
            </w:tcBorders>
            <w:shd w:fill="1B2A4A"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Wk 7</w:t>
            </w:r>
          </w:p>
        </w:tc>
        <w:tc>
          <w:tcPr>
            <w:tcW w:type="dxa" w:w="893"/>
            <w:tcBorders>
              <w:top w:val="single" w:color="CCCCCC" w:sz="1"/>
              <w:left w:val="single" w:color="CCCCCC" w:sz="1"/>
              <w:bottom w:val="single" w:color="CCCCCC" w:sz="1"/>
              <w:right w:val="single" w:color="CCCCCC" w:sz="1"/>
            </w:tcBorders>
            <w:shd w:fill="1B2A4A"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Wk 8</w:t>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pPr>
              <w:jc w:val="left"/>
            </w:pPr>
            <w:r>
              <w:rPr>
                <w:rFonts w:ascii="Arial" w:cs="Arial" w:eastAsia="Arial" w:hAnsi="Arial"/>
                <w:b/>
                <w:bCs/>
                <w:color w:val="1B2A4A"/>
                <w:sz w:val="16"/>
                <w:szCs w:val="16"/>
              </w:rPr>
              <w:t xml:space="preserve">Real-Time Discovery</w:t>
            </w:r>
          </w:p>
        </w:tc>
        <w:tc>
          <w:tcPr>
            <w:tcW w:type="dxa" w:w="893"/>
            <w:tcBorders>
              <w:top w:val="single" w:color="CCCCCC" w:sz="1"/>
              <w:left w:val="single" w:color="CCCCCC" w:sz="1"/>
              <w:bottom w:val="single" w:color="CCCCCC" w:sz="1"/>
              <w:right w:val="single" w:color="CCCCCC" w:sz="1"/>
            </w:tcBorders>
            <w:shd w:fill="2E5090"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2E5090"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2E5090"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2E5090"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2E5090"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2E5090"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pPr>
              <w:jc w:val="center"/>
            </w:pPr>
            <w:r>
              <w:rPr>
                <w:rFonts w:ascii="Arial" w:cs="Arial" w:eastAsia="Arial" w:hAnsi="Arial"/>
                <w:b w:val="false"/>
                <w:bCs w:val="false"/>
                <w:color w:val="1B2A4A"/>
                <w:sz w:val="16"/>
                <w:szCs w:val="16"/>
              </w:rPr>
              <w:t xml:space="preserve"/>
            </w:r>
          </w:p>
        </w:tc>
        <w:tc>
          <w:tcPr>
            <w:tcW w:type="dxa" w:w="893"/>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pPr>
              <w:jc w:val="center"/>
            </w:pPr>
            <w:r>
              <w:rPr>
                <w:rFonts w:ascii="Arial" w:cs="Arial" w:eastAsia="Arial" w:hAnsi="Arial"/>
                <w:b w:val="false"/>
                <w:bCs w:val="false"/>
                <w:color w:val="1B2A4A"/>
                <w:sz w:val="16"/>
                <w:szCs w:val="16"/>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pPr>
              <w:jc w:val="left"/>
            </w:pPr>
            <w:r>
              <w:rPr>
                <w:rFonts w:ascii="Arial" w:cs="Arial" w:eastAsia="Arial" w:hAnsi="Arial"/>
                <w:b/>
                <w:bCs/>
                <w:color w:val="1B2A4A"/>
                <w:sz w:val="16"/>
                <w:szCs w:val="16"/>
              </w:rPr>
              <w:t xml:space="preserve">Legacy Investigation</w:t>
            </w:r>
          </w:p>
        </w:tc>
        <w:tc>
          <w:tcPr>
            <w:tcW w:type="dxa" w:w="893"/>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pPr>
              <w:jc w:val="center"/>
            </w:pPr>
            <w:r>
              <w:rPr>
                <w:rFonts w:ascii="Arial" w:cs="Arial" w:eastAsia="Arial" w:hAnsi="Arial"/>
                <w:b w:val="false"/>
                <w:bCs w:val="false"/>
                <w:color w:val="1B2A4A"/>
                <w:sz w:val="16"/>
                <w:szCs w:val="16"/>
              </w:rPr>
              <w:t xml:space="preserve"/>
            </w:r>
          </w:p>
        </w:tc>
        <w:tc>
          <w:tcPr>
            <w:tcW w:type="dxa" w:w="893"/>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pPr>
              <w:jc w:val="center"/>
            </w:pPr>
            <w:r>
              <w:rPr>
                <w:rFonts w:ascii="Arial" w:cs="Arial" w:eastAsia="Arial" w:hAnsi="Arial"/>
                <w:b w:val="false"/>
                <w:bCs w:val="false"/>
                <w:color w:val="1B2A4A"/>
                <w:sz w:val="16"/>
                <w:szCs w:val="16"/>
              </w:rPr>
              <w:t xml:space="preserve"/>
            </w:r>
          </w:p>
        </w:tc>
        <w:tc>
          <w:tcPr>
            <w:tcW w:type="dxa" w:w="893"/>
            <w:tcBorders>
              <w:top w:val="single" w:color="CCCCCC" w:sz="1"/>
              <w:left w:val="single" w:color="CCCCCC" w:sz="1"/>
              <w:bottom w:val="single" w:color="CCCCCC" w:sz="1"/>
              <w:right w:val="single" w:color="CCCCCC" w:sz="1"/>
            </w:tcBorders>
            <w:shd w:fill="D4A84B"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D4A84B"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D4A84B"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D4A84B"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D4A84B"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D4A84B"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pPr>
              <w:jc w:val="left"/>
            </w:pPr>
            <w:r>
              <w:rPr>
                <w:rFonts w:ascii="Arial" w:cs="Arial" w:eastAsia="Arial" w:hAnsi="Arial"/>
                <w:b/>
                <w:bCs/>
                <w:color w:val="1B2A4A"/>
                <w:sz w:val="16"/>
                <w:szCs w:val="16"/>
              </w:rPr>
              <w:t xml:space="preserve">Training &amp; Enablement</w:t>
            </w:r>
          </w:p>
        </w:tc>
        <w:tc>
          <w:tcPr>
            <w:tcW w:type="dxa" w:w="893"/>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pPr>
              <w:jc w:val="center"/>
            </w:pPr>
            <w:r>
              <w:rPr>
                <w:rFonts w:ascii="Arial" w:cs="Arial" w:eastAsia="Arial" w:hAnsi="Arial"/>
                <w:b w:val="false"/>
                <w:bCs w:val="false"/>
                <w:color w:val="1B2A4A"/>
                <w:sz w:val="16"/>
                <w:szCs w:val="16"/>
              </w:rPr>
              <w:t xml:space="preserve"/>
            </w:r>
          </w:p>
        </w:tc>
        <w:tc>
          <w:tcPr>
            <w:tcW w:type="dxa" w:w="893"/>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pPr>
              <w:jc w:val="center"/>
            </w:pPr>
            <w:r>
              <w:rPr>
                <w:rFonts w:ascii="Arial" w:cs="Arial" w:eastAsia="Arial" w:hAnsi="Arial"/>
                <w:b w:val="false"/>
                <w:bCs w:val="false"/>
                <w:color w:val="1B2A4A"/>
                <w:sz w:val="16"/>
                <w:szCs w:val="16"/>
              </w:rPr>
              <w:t xml:space="preserve"/>
            </w:r>
          </w:p>
        </w:tc>
        <w:tc>
          <w:tcPr>
            <w:tcW w:type="dxa" w:w="893"/>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pPr>
              <w:jc w:val="center"/>
            </w:pPr>
            <w:r>
              <w:rPr>
                <w:rFonts w:ascii="Arial" w:cs="Arial" w:eastAsia="Arial" w:hAnsi="Arial"/>
                <w:b w:val="false"/>
                <w:bCs w:val="false"/>
                <w:color w:val="1B2A4A"/>
                <w:sz w:val="16"/>
                <w:szCs w:val="16"/>
              </w:rPr>
              <w:t xml:space="preserve"/>
            </w:r>
          </w:p>
        </w:tc>
        <w:tc>
          <w:tcPr>
            <w:tcW w:type="dxa" w:w="893"/>
            <w:tcBorders>
              <w:top w:val="single" w:color="CCCCCC" w:sz="1"/>
              <w:left w:val="single" w:color="CCCCCC" w:sz="1"/>
              <w:bottom w:val="single" w:color="CCCCCC" w:sz="1"/>
              <w:right w:val="single" w:color="CCCCCC" w:sz="1"/>
            </w:tcBorders>
            <w:shd w:fill="4A8C5C"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4A8C5C"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4A8C5C"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4A8C5C"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c>
          <w:tcPr>
            <w:tcW w:type="dxa" w:w="893"/>
            <w:tcBorders>
              <w:top w:val="single" w:color="CCCCCC" w:sz="1"/>
              <w:left w:val="single" w:color="CCCCCC" w:sz="1"/>
              <w:bottom w:val="single" w:color="CCCCCC" w:sz="1"/>
              <w:right w:val="single" w:color="CCCCCC" w:sz="1"/>
            </w:tcBorders>
            <w:shd w:fill="4A8C5C" w:val="clear"/>
            <w:tcMar>
              <w:top w:type="dxa" w:w="40"/>
              <w:left w:type="dxa" w:w="60"/>
              <w:bottom w:type="dxa" w:w="40"/>
              <w:right w:type="dxa" w:w="60"/>
            </w:tcMar>
          </w:tcPr>
          <w:p>
            <w:pPr>
              <w:jc w:val="center"/>
            </w:pPr>
            <w:r>
              <w:rPr>
                <w:rFonts w:ascii="Arial" w:cs="Arial" w:eastAsia="Arial" w:hAnsi="Arial"/>
                <w:b w:val="false"/>
                <w:bCs w:val="false"/>
                <w:color w:val="FFFFFF"/>
                <w:sz w:val="16"/>
                <w:szCs w:val="16"/>
              </w:rPr>
              <w:t xml:space="preserve"/>
            </w:r>
          </w:p>
        </w:tc>
      </w:tr>
    </w:tbl>
    <w:p>
      <w:pPr>
        <w:spacing w:before="60" w:after="0"/>
      </w:pPr>
    </w:p>
    <w:p>
      <w:pPr>
        <w:spacing w:before="60" w:after="200"/>
      </w:pPr>
      <w:r>
        <w:rPr>
          <w:rFonts w:ascii="Arial" w:cs="Arial" w:eastAsia="Arial" w:hAnsi="Arial"/>
          <w:sz w:val="16"/>
          <w:szCs w:val="16"/>
        </w:rPr>
        <w:t xml:space="preserve">  </w:t>
      </w:r>
      <w:r>
        <w:rPr>
          <w:rFonts w:ascii="Arial" w:cs="Arial" w:eastAsia="Arial" w:hAnsi="Arial"/>
          <w:sz w:val="16"/>
          <w:szCs w:val="16"/>
          <w:shd w:fill="2E5090" w:val="clear"/>
        </w:rPr>
        <w:t xml:space="preserve">   </w:t>
      </w:r>
      <w:r>
        <w:rPr>
          <w:rFonts w:ascii="Arial" w:cs="Arial" w:eastAsia="Arial" w:hAnsi="Arial"/>
          <w:color w:val="666666"/>
          <w:sz w:val="16"/>
          <w:szCs w:val="16"/>
        </w:rPr>
        <w:t xml:space="preserve"> Real-Time Discovery    </w:t>
      </w:r>
      <w:r>
        <w:rPr>
          <w:rFonts w:ascii="Arial" w:cs="Arial" w:eastAsia="Arial" w:hAnsi="Arial"/>
          <w:sz w:val="16"/>
          <w:szCs w:val="16"/>
          <w:shd w:fill="D4A84B" w:val="clear"/>
        </w:rPr>
        <w:t xml:space="preserve">   </w:t>
      </w:r>
      <w:r>
        <w:rPr>
          <w:rFonts w:ascii="Arial" w:cs="Arial" w:eastAsia="Arial" w:hAnsi="Arial"/>
          <w:color w:val="666666"/>
          <w:sz w:val="16"/>
          <w:szCs w:val="16"/>
        </w:rPr>
        <w:t xml:space="preserve"> Legacy Investigation    </w:t>
      </w:r>
      <w:r>
        <w:rPr>
          <w:rFonts w:ascii="Arial" w:cs="Arial" w:eastAsia="Arial" w:hAnsi="Arial"/>
          <w:sz w:val="16"/>
          <w:szCs w:val="16"/>
          <w:shd w:fill="4A8C5C" w:val="clear"/>
        </w:rPr>
        <w:t xml:space="preserve">   </w:t>
      </w:r>
      <w:r>
        <w:rPr>
          <w:rFonts w:ascii="Arial" w:cs="Arial" w:eastAsia="Arial" w:hAnsi="Arial"/>
          <w:color w:val="666666"/>
          <w:sz w:val="16"/>
          <w:szCs w:val="16"/>
        </w:rPr>
        <w:t xml:space="preserve"> Training &amp; Enablement</w:t>
      </w:r>
    </w:p>
    <w:p>
      <w:pPr>
        <w:spacing w:before="200" w:after="120"/>
      </w:pPr>
      <w:r>
        <w:rPr>
          <w:rFonts w:ascii="Arial" w:cs="Arial" w:eastAsia="Arial" w:hAnsi="Arial"/>
          <w:b/>
          <w:bCs/>
          <w:color w:val="1B2A4A"/>
          <w:sz w:val="22"/>
          <w:szCs w:val="22"/>
        </w:rPr>
        <w:t xml:space="preserve">Workstream A: Real-Time Discovery (Weeks 1-6)</w:t>
      </w:r>
    </w:p>
    <w:p>
      <w:pPr>
        <w:spacing w:before="60" w:after="60" w:line="276"/>
      </w:pPr>
      <w:r>
        <w:rPr>
          <w:rFonts w:ascii="Arial" w:cs="Arial" w:eastAsia="Arial" w:hAnsi="Arial"/>
          <w:color w:val="333333"/>
          <w:sz w:val="20"/>
          <w:szCs w:val="20"/>
        </w:rPr>
        <w:t xml:space="preserve">We begin immediately with stakeholder interviews, process mapping, and quick-win identification. This is not a passive assessment - we deliver usable tools and improvements on a weekly cadence while building a comprehensive picture of AIIM's operations.</w:t>
      </w:r>
    </w:p>
    <w:p>
      <w:pPr>
        <w:spacing w:before="40" w:after="0"/>
      </w:pPr>
    </w:p>
    <w:p>
      <w:pPr>
        <w:pStyle w:val="ListParagraph"/>
        <w:numPr>
          <w:ilvl w:val="0"/>
          <w:numId w:val="2"/>
        </w:numPr>
        <w:spacing w:before="40" w:after="40" w:line="276"/>
      </w:pPr>
      <w:r>
        <w:rPr>
          <w:rFonts w:ascii="Arial" w:cs="Arial" w:eastAsia="Arial" w:hAnsi="Arial"/>
          <w:color w:val="333333"/>
          <w:sz w:val="20"/>
          <w:szCs w:val="20"/>
        </w:rPr>
        <w:t xml:space="preserve">Stakeholder interviews across production, IT, client services, operations, and compliance</w:t>
      </w:r>
    </w:p>
    <w:p>
      <w:pPr>
        <w:pStyle w:val="ListParagraph"/>
        <w:numPr>
          <w:ilvl w:val="0"/>
          <w:numId w:val="2"/>
        </w:numPr>
        <w:spacing w:before="40" w:after="40" w:line="276"/>
      </w:pPr>
      <w:r>
        <w:rPr>
          <w:rFonts w:ascii="Arial" w:cs="Arial" w:eastAsia="Arial" w:hAnsi="Arial"/>
          <w:color w:val="333333"/>
          <w:sz w:val="20"/>
          <w:szCs w:val="20"/>
        </w:rPr>
        <w:t xml:space="preserve">Process and workflow mapping across all acquired entities</w:t>
      </w:r>
    </w:p>
    <w:p>
      <w:pPr>
        <w:pStyle w:val="ListParagraph"/>
        <w:numPr>
          <w:ilvl w:val="0"/>
          <w:numId w:val="2"/>
        </w:numPr>
        <w:spacing w:before="40" w:after="40" w:line="276"/>
      </w:pPr>
      <w:r>
        <w:rPr>
          <w:rFonts w:ascii="Arial" w:cs="Arial" w:eastAsia="Arial" w:hAnsi="Arial"/>
          <w:color w:val="333333"/>
          <w:sz w:val="20"/>
          <w:szCs w:val="20"/>
        </w:rPr>
        <w:t xml:space="preserve">Data landscape inventory - what exists, where it lives, how it flows between systems</w:t>
      </w:r>
    </w:p>
    <w:p>
      <w:pPr>
        <w:pStyle w:val="ListParagraph"/>
        <w:numPr>
          <w:ilvl w:val="0"/>
          <w:numId w:val="2"/>
        </w:numPr>
        <w:spacing w:before="40" w:after="40" w:line="276"/>
      </w:pPr>
      <w:r>
        <w:rPr>
          <w:rFonts w:ascii="Arial" w:cs="Arial" w:eastAsia="Arial" w:hAnsi="Arial"/>
          <w:color w:val="333333"/>
          <w:sz w:val="20"/>
          <w:szCs w:val="20"/>
        </w:rPr>
        <w:t xml:space="preserve">Quick-win identification and immediate implementation (weekly delivery cadence)</w:t>
      </w:r>
    </w:p>
    <w:p>
      <w:pPr>
        <w:pStyle w:val="ListParagraph"/>
        <w:numPr>
          <w:ilvl w:val="0"/>
          <w:numId w:val="2"/>
        </w:numPr>
        <w:spacing w:before="40" w:after="40" w:line="276"/>
      </w:pPr>
      <w:r>
        <w:rPr>
          <w:rFonts w:ascii="Arial" w:cs="Arial" w:eastAsia="Arial" w:hAnsi="Arial"/>
          <w:color w:val="333333"/>
          <w:sz w:val="20"/>
          <w:szCs w:val="20"/>
        </w:rPr>
        <w:t xml:space="preserve">Compliance and governance framework development, tailored to AIIM's SOC 2 and ISO requirements</w:t>
      </w:r>
    </w:p>
    <w:p>
      <w:pPr>
        <w:pStyle w:val="ListParagraph"/>
        <w:numPr>
          <w:ilvl w:val="0"/>
          <w:numId w:val="2"/>
        </w:numPr>
        <w:spacing w:before="40" w:after="40" w:line="276"/>
      </w:pPr>
      <w:r>
        <w:rPr>
          <w:rFonts w:ascii="Arial" w:cs="Arial" w:eastAsia="Arial" w:hAnsi="Arial"/>
          <w:color w:val="333333"/>
          <w:sz w:val="20"/>
          <w:szCs w:val="20"/>
        </w:rPr>
        <w:t xml:space="preserve">Use case discovery and prioritization with ROI assessment</w:t>
      </w:r>
    </w:p>
    <w:p>
      <w:pPr>
        <w:spacing w:before="200" w:after="120"/>
      </w:pPr>
      <w:r>
        <w:rPr>
          <w:rFonts w:ascii="Arial" w:cs="Arial" w:eastAsia="Arial" w:hAnsi="Arial"/>
          <w:b/>
          <w:bCs/>
          <w:color w:val="1B2A4A"/>
          <w:sz w:val="22"/>
          <w:szCs w:val="22"/>
        </w:rPr>
        <w:t xml:space="preserve">Workstream B: Legacy Investigation &amp; Assessment (Weeks 2/3-8)</w:t>
      </w:r>
    </w:p>
    <w:p>
      <w:pPr>
        <w:spacing w:before="60" w:after="60" w:line="276"/>
      </w:pPr>
      <w:r>
        <w:rPr>
          <w:rFonts w:ascii="Arial" w:cs="Arial" w:eastAsia="Arial" w:hAnsi="Arial"/>
          <w:color w:val="333333"/>
          <w:sz w:val="20"/>
          <w:szCs w:val="20"/>
        </w:rPr>
        <w:t xml:space="preserve">This is the anchor workstream. Based on our initial conversation, understanding what exists across AIIM's acquired systems is the highest-priority, highest-value work we can do.</w:t>
      </w:r>
    </w:p>
    <w:p>
      <w:pPr>
        <w:spacing w:before="40" w:after="0"/>
      </w:pPr>
    </w:p>
    <w:p>
      <w:pPr>
        <w:spacing w:before="60" w:after="60" w:line="276"/>
      </w:pPr>
      <w:r>
        <w:rPr>
          <w:rFonts w:ascii="Arial" w:cs="Arial" w:eastAsia="Arial" w:hAnsi="Arial"/>
          <w:color w:val="333333"/>
          <w:sz w:val="20"/>
          <w:szCs w:val="20"/>
        </w:rPr>
        <w:t xml:space="preserve">We use Claude Code - an AI-powered development tool - to ingest entire code repositories, document database schemas, map integration points, and extract business logic that is currently undocumented or trapped in legacy systems. This capability is unique to SoftHouse and fundamentally changes the speed and depth of legacy system assessment.</w:t>
      </w:r>
    </w:p>
    <w:p>
      <w:pPr>
        <w:spacing w:before="40" w:after="0"/>
      </w:pPr>
    </w:p>
    <w:p>
      <w:pPr>
        <w:pStyle w:val="ListParagraph"/>
        <w:numPr>
          <w:ilvl w:val="0"/>
          <w:numId w:val="2"/>
        </w:numPr>
        <w:spacing w:before="40" w:after="40" w:line="276"/>
      </w:pPr>
      <w:r>
        <w:rPr>
          <w:rFonts w:ascii="Arial" w:cs="Arial" w:eastAsia="Arial" w:hAnsi="Arial"/>
          <w:color w:val="333333"/>
          <w:sz w:val="20"/>
          <w:szCs w:val="20"/>
        </w:rPr>
        <w:t xml:space="preserve">Full legacy system assessment across all acquired entities</w:t>
      </w:r>
    </w:p>
    <w:p>
      <w:pPr>
        <w:pStyle w:val="ListParagraph"/>
        <w:numPr>
          <w:ilvl w:val="0"/>
          <w:numId w:val="2"/>
        </w:numPr>
        <w:spacing w:before="40" w:after="40" w:line="276"/>
      </w:pPr>
      <w:r>
        <w:rPr>
          <w:rFonts w:ascii="Arial" w:cs="Arial" w:eastAsia="Arial" w:hAnsi="Arial"/>
          <w:color w:val="333333"/>
          <w:sz w:val="20"/>
          <w:szCs w:val="20"/>
        </w:rPr>
        <w:t xml:space="preserve">Repository ingestion, schema documentation, and integration point mapping</w:t>
      </w:r>
    </w:p>
    <w:p>
      <w:pPr>
        <w:pStyle w:val="ListParagraph"/>
        <w:numPr>
          <w:ilvl w:val="0"/>
          <w:numId w:val="2"/>
        </w:numPr>
        <w:spacing w:before="40" w:after="40" w:line="276"/>
      </w:pPr>
      <w:r>
        <w:rPr>
          <w:rFonts w:ascii="Arial" w:cs="Arial" w:eastAsia="Arial" w:hAnsi="Arial"/>
          <w:color w:val="333333"/>
          <w:sz w:val="20"/>
          <w:szCs w:val="20"/>
        </w:rPr>
        <w:t xml:space="preserve">Architecture mapping showing how systems connect (and where they don't)</w:t>
      </w:r>
    </w:p>
    <w:p>
      <w:pPr>
        <w:pStyle w:val="ListParagraph"/>
        <w:numPr>
          <w:ilvl w:val="0"/>
          <w:numId w:val="2"/>
        </w:numPr>
        <w:spacing w:before="40" w:after="40" w:line="276"/>
      </w:pPr>
      <w:r>
        <w:rPr>
          <w:rFonts w:ascii="Arial" w:cs="Arial" w:eastAsia="Arial" w:hAnsi="Arial"/>
          <w:color w:val="333333"/>
          <w:sz w:val="20"/>
          <w:szCs w:val="20"/>
        </w:rPr>
        <w:t xml:space="preserve">Identification of consolidation opportunities and single points of failure</w:t>
      </w:r>
    </w:p>
    <w:p>
      <w:pPr>
        <w:pStyle w:val="ListParagraph"/>
        <w:numPr>
          <w:ilvl w:val="0"/>
          <w:numId w:val="2"/>
        </w:numPr>
        <w:spacing w:before="40" w:after="40" w:line="276"/>
      </w:pPr>
      <w:r>
        <w:rPr>
          <w:rFonts w:ascii="Arial" w:cs="Arial" w:eastAsia="Arial" w:hAnsi="Arial"/>
          <w:color w:val="333333"/>
          <w:sz w:val="20"/>
          <w:szCs w:val="20"/>
        </w:rPr>
        <w:t xml:space="preserve">Documentation of tribal knowledge currently trapped in systems and people</w:t>
      </w:r>
    </w:p>
    <w:p>
      <w:pPr>
        <w:spacing w:before="60" w:after="0"/>
      </w:pPr>
    </w:p>
    <w:p>
      <w:pPr>
        <w:spacing w:before="60" w:after="60" w:line="276"/>
      </w:pPr>
      <w:r>
        <w:rPr>
          <w:rFonts w:ascii="Arial" w:cs="Arial" w:eastAsia="Arial" w:hAnsi="Arial"/>
          <w:b/>
          <w:bCs/>
          <w:i/>
          <w:iCs/>
          <w:color w:val="1B2A4A"/>
          <w:sz w:val="20"/>
          <w:szCs w:val="20"/>
        </w:rPr>
        <w:t xml:space="preserve">Note: </w:t>
      </w:r>
      <w:r>
        <w:rPr>
          <w:rFonts w:ascii="Arial" w:cs="Arial" w:eastAsia="Arial" w:hAnsi="Arial"/>
          <w:i/>
          <w:iCs/>
          <w:color w:val="333333"/>
          <w:sz w:val="20"/>
          <w:szCs w:val="20"/>
        </w:rPr>
        <w:t xml:space="preserve">If Weeks 1-2 discovery reveals something of even greater value or urgency, we will pivot this workstream accordingly. But based on what we know today, legacy investigation is the definite anchor of this engagement.</w:t>
      </w:r>
    </w:p>
    <w:p>
      <w:pPr>
        <w:spacing w:before="200" w:after="120"/>
      </w:pPr>
      <w:r>
        <w:rPr>
          <w:rFonts w:ascii="Arial" w:cs="Arial" w:eastAsia="Arial" w:hAnsi="Arial"/>
          <w:b/>
          <w:bCs/>
          <w:color w:val="1B2A4A"/>
          <w:sz w:val="22"/>
          <w:szCs w:val="22"/>
        </w:rPr>
        <w:t xml:space="preserve">Workstream C: Training &amp; Enablement (Weeks 4-8)</w:t>
      </w:r>
    </w:p>
    <w:p>
      <w:pPr>
        <w:spacing w:before="60" w:after="60" w:line="276"/>
      </w:pPr>
      <w:r>
        <w:rPr>
          <w:rFonts w:ascii="Arial" w:cs="Arial" w:eastAsia="Arial" w:hAnsi="Arial"/>
          <w:color w:val="333333"/>
          <w:sz w:val="20"/>
          <w:szCs w:val="20"/>
        </w:rPr>
        <w:t xml:space="preserve">By week four, we will have developed sufficient understanding of AIIM's specific use cases, workflows, and data landscape to tailor training directly to the business - not generic AI education, but practical, role-specific capability building.</w:t>
      </w:r>
    </w:p>
    <w:p>
      <w:pPr>
        <w:spacing w:before="40" w:after="0"/>
      </w:pPr>
    </w:p>
    <w:p>
      <w:pPr>
        <w:pStyle w:val="ListParagraph"/>
        <w:numPr>
          <w:ilvl w:val="0"/>
          <w:numId w:val="2"/>
        </w:numPr>
        <w:spacing w:before="40" w:after="40" w:line="276"/>
      </w:pPr>
      <w:r>
        <w:rPr>
          <w:rFonts w:ascii="Arial" w:cs="Arial" w:eastAsia="Arial" w:hAnsi="Arial"/>
          <w:color w:val="333333"/>
          <w:sz w:val="20"/>
          <w:szCs w:val="20"/>
        </w:rPr>
        <w:t xml:space="preserve">AI foundations and tooling training for office staff in masterclass format</w:t>
      </w:r>
    </w:p>
    <w:p>
      <w:pPr>
        <w:pStyle w:val="ListParagraph"/>
        <w:numPr>
          <w:ilvl w:val="0"/>
          <w:numId w:val="2"/>
        </w:numPr>
        <w:spacing w:before="40" w:after="40" w:line="276"/>
      </w:pPr>
      <w:r>
        <w:rPr>
          <w:rFonts w:ascii="Arial" w:cs="Arial" w:eastAsia="Arial" w:hAnsi="Arial"/>
          <w:color w:val="333333"/>
          <w:sz w:val="20"/>
          <w:szCs w:val="20"/>
        </w:rPr>
        <w:t xml:space="preserve">Department-specific sessions focused on real workflows and quick wins already delivered</w:t>
      </w:r>
    </w:p>
    <w:p>
      <w:pPr>
        <w:pStyle w:val="ListParagraph"/>
        <w:numPr>
          <w:ilvl w:val="0"/>
          <w:numId w:val="2"/>
        </w:numPr>
        <w:spacing w:before="40" w:after="40" w:line="276"/>
      </w:pPr>
      <w:r>
        <w:rPr>
          <w:rFonts w:ascii="Arial" w:cs="Arial" w:eastAsia="Arial" w:hAnsi="Arial"/>
          <w:color w:val="333333"/>
          <w:sz w:val="20"/>
          <w:szCs w:val="20"/>
        </w:rPr>
        <w:t xml:space="preserve">Community of practice setup with identified internal champions</w:t>
      </w:r>
    </w:p>
    <w:p>
      <w:pPr>
        <w:pStyle w:val="ListParagraph"/>
        <w:numPr>
          <w:ilvl w:val="0"/>
          <w:numId w:val="2"/>
        </w:numPr>
        <w:spacing w:before="40" w:after="40" w:line="276"/>
      </w:pPr>
      <w:r>
        <w:rPr>
          <w:rFonts w:ascii="Arial" w:cs="Arial" w:eastAsia="Arial" w:hAnsi="Arial"/>
          <w:color w:val="333333"/>
          <w:sz w:val="20"/>
          <w:szCs w:val="20"/>
        </w:rPr>
        <w:t xml:space="preserve">Change management foundations to sustain adoption beyond the engagement</w:t>
      </w:r>
    </w:p>
    <w:p>
      <w:pPr>
        <w:spacing w:before="100" w:after="0"/>
      </w:pPr>
    </w:p>
    <w:p>
      <w:pPr>
        <w:spacing w:before="200" w:after="120"/>
      </w:pPr>
      <w:r>
        <w:rPr>
          <w:rFonts w:ascii="Arial" w:cs="Arial" w:eastAsia="Arial" w:hAnsi="Arial"/>
          <w:b/>
          <w:bCs/>
          <w:color w:val="1B2A4A"/>
          <w:sz w:val="22"/>
          <w:szCs w:val="22"/>
        </w:rPr>
        <w:t xml:space="preserve">Phase 1 Deliverables</w:t>
      </w:r>
    </w:p>
    <w:p>
      <w:pPr>
        <w:pStyle w:val="ListParagraph"/>
        <w:numPr>
          <w:ilvl w:val="0"/>
          <w:numId w:val="2"/>
        </w:numPr>
        <w:spacing w:before="40" w:after="40" w:line="276"/>
      </w:pPr>
      <w:r>
        <w:rPr>
          <w:rFonts w:ascii="Arial" w:cs="Arial" w:eastAsia="Arial" w:hAnsi="Arial"/>
          <w:color w:val="333333"/>
          <w:sz w:val="20"/>
          <w:szCs w:val="20"/>
        </w:rPr>
        <w:t xml:space="preserve">Legacy systems documentation and architecture map across all acquired entities</w:t>
      </w:r>
    </w:p>
    <w:p>
      <w:pPr>
        <w:pStyle w:val="ListParagraph"/>
        <w:numPr>
          <w:ilvl w:val="0"/>
          <w:numId w:val="2"/>
        </w:numPr>
        <w:spacing w:before="40" w:after="40" w:line="276"/>
      </w:pPr>
      <w:r>
        <w:rPr>
          <w:rFonts w:ascii="Arial" w:cs="Arial" w:eastAsia="Arial" w:hAnsi="Arial"/>
          <w:color w:val="333333"/>
          <w:sz w:val="20"/>
          <w:szCs w:val="20"/>
        </w:rPr>
        <w:t xml:space="preserve">Process maps across key workflows</w:t>
      </w:r>
    </w:p>
    <w:p>
      <w:pPr>
        <w:pStyle w:val="ListParagraph"/>
        <w:numPr>
          <w:ilvl w:val="0"/>
          <w:numId w:val="2"/>
        </w:numPr>
        <w:spacing w:before="40" w:after="40" w:line="276"/>
      </w:pPr>
      <w:r>
        <w:rPr>
          <w:rFonts w:ascii="Arial" w:cs="Arial" w:eastAsia="Arial" w:hAnsi="Arial"/>
          <w:color w:val="333333"/>
          <w:sz w:val="20"/>
          <w:szCs w:val="20"/>
        </w:rPr>
        <w:t xml:space="preserve">Quick-win implementations - usable tools delivered from week one</w:t>
      </w:r>
    </w:p>
    <w:p>
      <w:pPr>
        <w:pStyle w:val="ListParagraph"/>
        <w:numPr>
          <w:ilvl w:val="0"/>
          <w:numId w:val="2"/>
        </w:numPr>
        <w:spacing w:before="40" w:after="40" w:line="276"/>
      </w:pPr>
      <w:r>
        <w:rPr>
          <w:rFonts w:ascii="Arial" w:cs="Arial" w:eastAsia="Arial" w:hAnsi="Arial"/>
          <w:color w:val="333333"/>
          <w:sz w:val="20"/>
          <w:szCs w:val="20"/>
        </w:rPr>
        <w:t xml:space="preserve">Data integration assessment</w:t>
      </w:r>
    </w:p>
    <w:p>
      <w:pPr>
        <w:pStyle w:val="ListParagraph"/>
        <w:numPr>
          <w:ilvl w:val="0"/>
          <w:numId w:val="2"/>
        </w:numPr>
        <w:spacing w:before="40" w:after="40" w:line="276"/>
      </w:pPr>
      <w:r>
        <w:rPr>
          <w:rFonts w:ascii="Arial" w:cs="Arial" w:eastAsia="Arial" w:hAnsi="Arial"/>
          <w:color w:val="333333"/>
          <w:sz w:val="20"/>
          <w:szCs w:val="20"/>
        </w:rPr>
        <w:t xml:space="preserve">Prioritized use case roadmap with ROI estimates</w:t>
      </w:r>
    </w:p>
    <w:p>
      <w:pPr>
        <w:pStyle w:val="ListParagraph"/>
        <w:numPr>
          <w:ilvl w:val="0"/>
          <w:numId w:val="2"/>
        </w:numPr>
        <w:spacing w:before="40" w:after="40" w:line="276"/>
      </w:pPr>
      <w:r>
        <w:rPr>
          <w:rFonts w:ascii="Arial" w:cs="Arial" w:eastAsia="Arial" w:hAnsi="Arial"/>
          <w:color w:val="333333"/>
          <w:sz w:val="20"/>
          <w:szCs w:val="20"/>
        </w:rPr>
        <w:t xml:space="preserve">AI governance framework tailored to AIIM's compliance requirements</w:t>
      </w:r>
    </w:p>
    <w:p>
      <w:pPr>
        <w:pStyle w:val="ListParagraph"/>
        <w:numPr>
          <w:ilvl w:val="0"/>
          <w:numId w:val="2"/>
        </w:numPr>
        <w:spacing w:before="40" w:after="40" w:line="276"/>
      </w:pPr>
      <w:r>
        <w:rPr>
          <w:rFonts w:ascii="Arial" w:cs="Arial" w:eastAsia="Arial" w:hAnsi="Arial"/>
          <w:color w:val="333333"/>
          <w:sz w:val="20"/>
          <w:szCs w:val="20"/>
        </w:rPr>
        <w:t xml:space="preserve">Organizational AI readiness assessment</w:t>
      </w:r>
    </w:p>
    <w:p>
      <w:pPr>
        <w:pStyle w:val="ListParagraph"/>
        <w:numPr>
          <w:ilvl w:val="0"/>
          <w:numId w:val="2"/>
        </w:numPr>
        <w:spacing w:before="40" w:after="40" w:line="276"/>
      </w:pPr>
      <w:r>
        <w:rPr>
          <w:rFonts w:ascii="Arial" w:cs="Arial" w:eastAsia="Arial" w:hAnsi="Arial"/>
          <w:color w:val="333333"/>
          <w:sz w:val="20"/>
          <w:szCs w:val="20"/>
        </w:rPr>
        <w:t xml:space="preserve">Training materials and recorded sessions</w:t>
      </w:r>
    </w:p>
    <w:p>
      <w:pPr>
        <w:pStyle w:val="ListParagraph"/>
        <w:numPr>
          <w:ilvl w:val="0"/>
          <w:numId w:val="2"/>
        </w:numPr>
        <w:spacing w:before="40" w:after="40" w:line="276"/>
      </w:pPr>
      <w:r>
        <w:rPr>
          <w:rFonts w:ascii="Arial" w:cs="Arial" w:eastAsia="Arial" w:hAnsi="Arial"/>
          <w:color w:val="333333"/>
          <w:sz w:val="20"/>
          <w:szCs w:val="20"/>
        </w:rPr>
        <w:t xml:space="preserve">Recommended roadmap for Phase 2 retainer</w:t>
      </w:r>
    </w:p>
    <w:p>
      <w:r>
        <w:br w:type="page"/>
      </w:r>
    </w:p>
    <w:p>
      <w:pPr>
        <w:pStyle w:val="Heading2"/>
        <w:spacing w:before="280" w:after="160"/>
      </w:pPr>
      <w:r>
        <w:rPr>
          <w:rFonts w:ascii="Arial" w:cs="Arial" w:eastAsia="Arial" w:hAnsi="Arial"/>
          <w:b/>
          <w:bCs/>
          <w:color w:val="2E5090"/>
          <w:sz w:val="26"/>
          <w:szCs w:val="26"/>
        </w:rPr>
        <w:t xml:space="preserve">Phase 2: Implementation &amp; Scale (Monthly Retainer)</w:t>
      </w:r>
    </w:p>
    <w:p>
      <w:pPr>
        <w:spacing w:before="60" w:after="60" w:line="276"/>
      </w:pPr>
      <w:r>
        <w:rPr>
          <w:rFonts w:ascii="Arial" w:cs="Arial" w:eastAsia="Arial" w:hAnsi="Arial"/>
          <w:color w:val="333333"/>
          <w:sz w:val="20"/>
          <w:szCs w:val="20"/>
        </w:rPr>
        <w:t xml:space="preserve">Phase 2 is powered by everything learned and built in Phase 1. The retainer covers ongoing implementation, with scope driven by the prioritized roadmap. Some of this work may begin sooner if the legacy investigation and discovery workstreams move quickly.</w:t>
      </w:r>
    </w:p>
    <w:p>
      <w:pPr>
        <w:spacing w:before="60" w:after="0"/>
      </w:pPr>
    </w:p>
    <w:p>
      <w:pPr>
        <w:spacing w:before="200" w:after="120"/>
      </w:pPr>
      <w:r>
        <w:rPr>
          <w:rFonts w:ascii="Arial" w:cs="Arial" w:eastAsia="Arial" w:hAnsi="Arial"/>
          <w:b/>
          <w:bCs/>
          <w:color w:val="1B2A4A"/>
          <w:sz w:val="22"/>
          <w:szCs w:val="22"/>
        </w:rPr>
        <w:t xml:space="preserve">Core Activities</w:t>
      </w:r>
    </w:p>
    <w:p>
      <w:pPr>
        <w:pStyle w:val="ListParagraph"/>
        <w:numPr>
          <w:ilvl w:val="0"/>
          <w:numId w:val="2"/>
        </w:numPr>
        <w:spacing w:before="40" w:after="40" w:line="276"/>
      </w:pPr>
      <w:r>
        <w:rPr>
          <w:rFonts w:ascii="Arial" w:cs="Arial" w:eastAsia="Arial" w:hAnsi="Arial"/>
          <w:color w:val="333333"/>
          <w:sz w:val="20"/>
          <w:szCs w:val="20"/>
        </w:rPr>
        <w:t xml:space="preserve">MVP development from prioritized use cases</w:t>
      </w:r>
    </w:p>
    <w:p>
      <w:pPr>
        <w:pStyle w:val="ListParagraph"/>
        <w:numPr>
          <w:ilvl w:val="0"/>
          <w:numId w:val="2"/>
        </w:numPr>
        <w:spacing w:before="40" w:after="40" w:line="276"/>
      </w:pPr>
      <w:r>
        <w:rPr>
          <w:rFonts w:ascii="Arial" w:cs="Arial" w:eastAsia="Arial" w:hAnsi="Arial"/>
          <w:color w:val="333333"/>
          <w:sz w:val="20"/>
          <w:szCs w:val="20"/>
        </w:rPr>
        <w:t xml:space="preserve">Legacy system migration and platform consolidation work</w:t>
      </w:r>
    </w:p>
    <w:p>
      <w:pPr>
        <w:pStyle w:val="ListParagraph"/>
        <w:numPr>
          <w:ilvl w:val="0"/>
          <w:numId w:val="2"/>
        </w:numPr>
        <w:spacing w:before="40" w:after="40" w:line="276"/>
      </w:pPr>
      <w:r>
        <w:rPr>
          <w:rFonts w:ascii="Arial" w:cs="Arial" w:eastAsia="Arial" w:hAnsi="Arial"/>
          <w:color w:val="333333"/>
          <w:sz w:val="20"/>
          <w:szCs w:val="20"/>
        </w:rPr>
        <w:t xml:space="preserve">Continued organizational upskilling on a department-by-department rollout</w:t>
      </w:r>
    </w:p>
    <w:p>
      <w:pPr>
        <w:pStyle w:val="ListParagraph"/>
        <w:numPr>
          <w:ilvl w:val="0"/>
          <w:numId w:val="2"/>
        </w:numPr>
        <w:spacing w:before="40" w:after="40" w:line="276"/>
      </w:pPr>
      <w:r>
        <w:rPr>
          <w:rFonts w:ascii="Arial" w:cs="Arial" w:eastAsia="Arial" w:hAnsi="Arial"/>
          <w:color w:val="333333"/>
          <w:sz w:val="20"/>
          <w:szCs w:val="20"/>
        </w:rPr>
        <w:t xml:space="preserve">Client-facing data products and dashboards</w:t>
      </w:r>
    </w:p>
    <w:p>
      <w:pPr>
        <w:pStyle w:val="ListParagraph"/>
        <w:numPr>
          <w:ilvl w:val="0"/>
          <w:numId w:val="2"/>
        </w:numPr>
        <w:spacing w:before="40" w:after="40" w:line="276"/>
      </w:pPr>
      <w:r>
        <w:rPr>
          <w:rFonts w:ascii="Arial" w:cs="Arial" w:eastAsia="Arial" w:hAnsi="Arial"/>
          <w:color w:val="333333"/>
          <w:sz w:val="20"/>
          <w:szCs w:val="20"/>
        </w:rPr>
        <w:t xml:space="preserve">Proactive analytics and insight generation for AIIM's customers</w:t>
      </w:r>
    </w:p>
    <w:p>
      <w:pPr>
        <w:pStyle w:val="ListParagraph"/>
        <w:numPr>
          <w:ilvl w:val="0"/>
          <w:numId w:val="2"/>
        </w:numPr>
        <w:spacing w:before="40" w:after="40" w:line="276"/>
      </w:pPr>
      <w:r>
        <w:rPr>
          <w:rFonts w:ascii="Arial" w:cs="Arial" w:eastAsia="Arial" w:hAnsi="Arial"/>
          <w:color w:val="333333"/>
          <w:sz w:val="20"/>
          <w:szCs w:val="20"/>
        </w:rPr>
        <w:t xml:space="preserve">Advanced AI implementations including agentic workflows and multi-system orchestration</w:t>
      </w:r>
    </w:p>
    <w:p>
      <w:pPr>
        <w:pStyle w:val="ListParagraph"/>
        <w:numPr>
          <w:ilvl w:val="0"/>
          <w:numId w:val="2"/>
        </w:numPr>
        <w:spacing w:before="40" w:after="40" w:line="276"/>
      </w:pPr>
      <w:r>
        <w:rPr>
          <w:rFonts w:ascii="Arial" w:cs="Arial" w:eastAsia="Arial" w:hAnsi="Arial"/>
          <w:color w:val="333333"/>
          <w:sz w:val="20"/>
          <w:szCs w:val="20"/>
        </w:rPr>
        <w:t xml:space="preserve">Ongoing quick-win delivery and change management</w:t>
      </w:r>
    </w:p>
    <w:p>
      <w:pPr>
        <w:pStyle w:val="ListParagraph"/>
        <w:numPr>
          <w:ilvl w:val="0"/>
          <w:numId w:val="2"/>
        </w:numPr>
        <w:spacing w:before="40" w:after="40" w:line="276"/>
      </w:pPr>
      <w:r>
        <w:rPr>
          <w:rFonts w:ascii="Arial" w:cs="Arial" w:eastAsia="Arial" w:hAnsi="Arial"/>
          <w:color w:val="333333"/>
          <w:sz w:val="20"/>
          <w:szCs w:val="20"/>
        </w:rPr>
        <w:t xml:space="preserve">Progressive reduction in SoftHouse involvement as AIIM's internal capability grows</w:t>
      </w:r>
    </w:p>
    <w:p>
      <w:pPr>
        <w:spacing w:before="60" w:after="0"/>
      </w:pPr>
    </w:p>
    <w:p>
      <w:pPr>
        <w:spacing w:before="200" w:after="120"/>
      </w:pPr>
      <w:r>
        <w:rPr>
          <w:rFonts w:ascii="Arial" w:cs="Arial" w:eastAsia="Arial" w:hAnsi="Arial"/>
          <w:b/>
          <w:bCs/>
          <w:color w:val="1B2A4A"/>
          <w:sz w:val="22"/>
          <w:szCs w:val="22"/>
        </w:rPr>
        <w:t xml:space="preserve">Potential MVP Candidates</w:t>
      </w:r>
    </w:p>
    <w:p>
      <w:pPr>
        <w:spacing w:before="60" w:after="60" w:line="276"/>
      </w:pPr>
      <w:r>
        <w:rPr>
          <w:rFonts w:ascii="Arial" w:cs="Arial" w:eastAsia="Arial" w:hAnsi="Arial"/>
          <w:color w:val="333333"/>
          <w:sz w:val="20"/>
          <w:szCs w:val="20"/>
        </w:rPr>
        <w:t xml:space="preserve">The following are illustrative examples based on our initial conversation. Phase 1 discovery will confirm, adjust, or replace these based on what we find:</w:t>
      </w:r>
    </w:p>
    <w:p>
      <w:pPr>
        <w:spacing w:before="40" w:after="0"/>
      </w:pPr>
    </w:p>
    <w:p>
      <w:pPr>
        <w:pStyle w:val="ListParagraph"/>
        <w:numPr>
          <w:ilvl w:val="0"/>
          <w:numId w:val="2"/>
        </w:numPr>
        <w:spacing w:before="40" w:after="40" w:line="276"/>
      </w:pPr>
      <w:r>
        <w:rPr>
          <w:rFonts w:ascii="Arial" w:cs="Arial" w:eastAsia="Arial" w:hAnsi="Arial"/>
          <w:color w:val="333333"/>
          <w:sz w:val="20"/>
          <w:szCs w:val="20"/>
        </w:rPr>
        <w:t xml:space="preserve">Legacy system documentation and knowledge extraction tool</w:t>
      </w:r>
    </w:p>
    <w:p>
      <w:pPr>
        <w:pStyle w:val="ListParagraph"/>
        <w:numPr>
          <w:ilvl w:val="0"/>
          <w:numId w:val="2"/>
        </w:numPr>
        <w:spacing w:before="40" w:after="40" w:line="276"/>
      </w:pPr>
      <w:r>
        <w:rPr>
          <w:rFonts w:ascii="Arial" w:cs="Arial" w:eastAsia="Arial" w:hAnsi="Arial"/>
          <w:color w:val="333333"/>
          <w:sz w:val="20"/>
          <w:szCs w:val="20"/>
        </w:rPr>
        <w:t xml:space="preserve">Client data processing automation and quality checking</w:t>
      </w:r>
    </w:p>
    <w:p>
      <w:pPr>
        <w:pStyle w:val="ListParagraph"/>
        <w:numPr>
          <w:ilvl w:val="0"/>
          <w:numId w:val="2"/>
        </w:numPr>
        <w:spacing w:before="40" w:after="40" w:line="276"/>
      </w:pPr>
      <w:r>
        <w:rPr>
          <w:rFonts w:ascii="Arial" w:cs="Arial" w:eastAsia="Arial" w:hAnsi="Arial"/>
          <w:color w:val="333333"/>
          <w:sz w:val="20"/>
          <w:szCs w:val="20"/>
        </w:rPr>
        <w:t xml:space="preserve">Internal dashboard for cross-system visibility</w:t>
      </w:r>
    </w:p>
    <w:p>
      <w:pPr>
        <w:pStyle w:val="ListParagraph"/>
        <w:numPr>
          <w:ilvl w:val="0"/>
          <w:numId w:val="2"/>
        </w:numPr>
        <w:spacing w:before="40" w:after="40" w:line="276"/>
      </w:pPr>
      <w:r>
        <w:rPr>
          <w:rFonts w:ascii="Arial" w:cs="Arial" w:eastAsia="Arial" w:hAnsi="Arial"/>
          <w:color w:val="333333"/>
          <w:sz w:val="20"/>
          <w:szCs w:val="20"/>
        </w:rPr>
        <w:t xml:space="preserve">Compliance document generation assistant</w:t>
      </w:r>
    </w:p>
    <w:p>
      <w:pPr>
        <w:pStyle w:val="ListParagraph"/>
        <w:numPr>
          <w:ilvl w:val="0"/>
          <w:numId w:val="2"/>
        </w:numPr>
        <w:spacing w:before="40" w:after="40" w:line="276"/>
      </w:pPr>
      <w:r>
        <w:rPr>
          <w:rFonts w:ascii="Arial" w:cs="Arial" w:eastAsia="Arial" w:hAnsi="Arial"/>
          <w:color w:val="333333"/>
          <w:sz w:val="20"/>
          <w:szCs w:val="20"/>
        </w:rPr>
        <w:t xml:space="preserve">Automated data composition rule validator - cross-system business logic checking</w:t>
      </w:r>
    </w:p>
    <w:p>
      <w:pPr>
        <w:pStyle w:val="ListParagraph"/>
        <w:numPr>
          <w:ilvl w:val="0"/>
          <w:numId w:val="2"/>
        </w:numPr>
        <w:spacing w:before="40" w:after="40" w:line="276"/>
      </w:pPr>
      <w:r>
        <w:rPr>
          <w:rFonts w:ascii="Arial" w:cs="Arial" w:eastAsia="Arial" w:hAnsi="Arial"/>
          <w:color w:val="333333"/>
          <w:sz w:val="20"/>
          <w:szCs w:val="20"/>
        </w:rPr>
        <w:t xml:space="preserve">Client onboarding workflow accelerator</w:t>
      </w:r>
    </w:p>
    <w:p>
      <w:r>
        <w:br w:type="page"/>
      </w:r>
    </w:p>
    <w:p>
      <w:pPr>
        <w:pStyle w:val="Heading1"/>
        <w:spacing w:before="360" w:after="200"/>
      </w:pPr>
      <w:r>
        <w:rPr>
          <w:rFonts w:ascii="Arial" w:cs="Arial" w:eastAsia="Arial" w:hAnsi="Arial"/>
          <w:b/>
          <w:bCs/>
          <w:color w:val="1B2A4A"/>
          <w:sz w:val="32"/>
          <w:szCs w:val="32"/>
        </w:rPr>
        <w:t xml:space="preserve">Team &amp; Methodology</w:t>
      </w:r>
    </w:p>
    <w:p>
      <w:pPr>
        <w:pStyle w:val="Heading2"/>
        <w:spacing w:before="280" w:after="160"/>
      </w:pPr>
      <w:r>
        <w:rPr>
          <w:rFonts w:ascii="Arial" w:cs="Arial" w:eastAsia="Arial" w:hAnsi="Arial"/>
          <w:b/>
          <w:bCs/>
          <w:color w:val="2E5090"/>
          <w:sz w:val="26"/>
          <w:szCs w:val="26"/>
        </w:rPr>
        <w:t xml:space="preserve">Engagement Team</w:t>
      </w:r>
    </w:p>
    <w:p>
      <w:pPr>
        <w:spacing w:before="60" w:after="60" w:line="276"/>
      </w:pPr>
      <w:r>
        <w:rPr>
          <w:rFonts w:ascii="Arial" w:cs="Arial" w:eastAsia="Arial" w:hAnsi="Arial"/>
          <w:color w:val="333333"/>
          <w:sz w:val="20"/>
          <w:szCs w:val="20"/>
        </w:rPr>
        <w:t xml:space="preserve">Your engagement will be led by Rob Williams, SoftHouse's Chief AI Officer, supported by a core team of specialists: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shd w:fill="F5F5F5" w:val="clear"/>
            <w:tcMar>
              <w:top w:type="dxa" w:w="60"/>
              <w:left w:type="dxa" w:w="120"/>
              <w:bottom w:type="dxa" w:w="60"/>
              <w:right w:type="dxa" w:w="120"/>
            </w:tcMar>
          </w:tcPr>
          <w:p>
            <w:r>
              <w:rPr>
                <w:rFonts w:ascii="Arial" w:cs="Arial" w:eastAsia="Arial" w:hAnsi="Arial"/>
                <w:b/>
                <w:bCs/>
                <w:color w:val="1B2A4A"/>
                <w:sz w:val="20"/>
                <w:szCs w:val="20"/>
              </w:rPr>
              <w:t xml:space="preserve">Rob Williams</w:t>
            </w:r>
          </w:p>
        </w:tc>
        <w:tc>
          <w:tcPr>
            <w:tcW w:type="dxa" w:w="6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Chief AI Officer / Engagement Lead - primary point of contact, strategic direction, and hands-on delivery</w:t>
            </w:r>
          </w:p>
        </w:tc>
      </w:tr>
      <w:tr>
        <w:tc>
          <w:tcPr>
            <w:tcW w:type="dxa" w:w="2800"/>
            <w:tcBorders>
              <w:top w:val="none" w:sz="0"/>
              <w:left w:val="none" w:sz="0"/>
              <w:bottom w:val="none" w:sz="0"/>
              <w:right w:val="none" w:sz="0"/>
            </w:tcBorders>
            <w:shd w:fill="F5F5F5" w:val="clear"/>
            <w:tcMar>
              <w:top w:type="dxa" w:w="60"/>
              <w:left w:type="dxa" w:w="120"/>
              <w:bottom w:type="dxa" w:w="60"/>
              <w:right w:type="dxa" w:w="120"/>
            </w:tcMar>
          </w:tcPr>
          <w:p>
            <w:r>
              <w:rPr>
                <w:rFonts w:ascii="Arial" w:cs="Arial" w:eastAsia="Arial" w:hAnsi="Arial"/>
                <w:b/>
                <w:bCs/>
                <w:color w:val="1B2A4A"/>
                <w:sz w:val="20"/>
                <w:szCs w:val="20"/>
              </w:rPr>
              <w:t xml:space="preserve">Business Analyst</w:t>
            </w:r>
          </w:p>
        </w:tc>
        <w:tc>
          <w:tcPr>
            <w:tcW w:type="dxa" w:w="6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Stakeholder engagement, process mapping, use case discovery, and facilitation</w:t>
            </w:r>
          </w:p>
        </w:tc>
      </w:tr>
      <w:tr>
        <w:tc>
          <w:tcPr>
            <w:tcW w:type="dxa" w:w="2800"/>
            <w:tcBorders>
              <w:top w:val="none" w:sz="0"/>
              <w:left w:val="none" w:sz="0"/>
              <w:bottom w:val="none" w:sz="0"/>
              <w:right w:val="none" w:sz="0"/>
            </w:tcBorders>
            <w:shd w:fill="F5F5F5" w:val="clear"/>
            <w:tcMar>
              <w:top w:type="dxa" w:w="60"/>
              <w:left w:type="dxa" w:w="120"/>
              <w:bottom w:type="dxa" w:w="60"/>
              <w:right w:type="dxa" w:w="120"/>
            </w:tcMar>
          </w:tcPr>
          <w:p>
            <w:r>
              <w:rPr>
                <w:rFonts w:ascii="Arial" w:cs="Arial" w:eastAsia="Arial" w:hAnsi="Arial"/>
                <w:b/>
                <w:bCs/>
                <w:color w:val="1B2A4A"/>
                <w:sz w:val="20"/>
                <w:szCs w:val="20"/>
              </w:rPr>
              <w:t xml:space="preserve">AI Implementation Specialist</w:t>
            </w:r>
          </w:p>
        </w:tc>
        <w:tc>
          <w:tcPr>
            <w:tcW w:type="dxa" w:w="6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Legacy system assessment, Claude Code-based analysis, architecture mapping</w:t>
            </w:r>
          </w:p>
        </w:tc>
      </w:tr>
      <w:tr>
        <w:tc>
          <w:tcPr>
            <w:tcW w:type="dxa" w:w="2800"/>
            <w:tcBorders>
              <w:top w:val="none" w:sz="0"/>
              <w:left w:val="none" w:sz="0"/>
              <w:bottom w:val="none" w:sz="0"/>
              <w:right w:val="none" w:sz="0"/>
            </w:tcBorders>
            <w:shd w:fill="F5F5F5" w:val="clear"/>
            <w:tcMar>
              <w:top w:type="dxa" w:w="60"/>
              <w:left w:type="dxa" w:w="120"/>
              <w:bottom w:type="dxa" w:w="60"/>
              <w:right w:type="dxa" w:w="120"/>
            </w:tcMar>
          </w:tcPr>
          <w:p>
            <w:r>
              <w:rPr>
                <w:rFonts w:ascii="Arial" w:cs="Arial" w:eastAsia="Arial" w:hAnsi="Arial"/>
                <w:b/>
                <w:bCs/>
                <w:color w:val="1B2A4A"/>
                <w:sz w:val="20"/>
                <w:szCs w:val="20"/>
              </w:rPr>
              <w:t xml:space="preserve">AI Tooling Specialist</w:t>
            </w:r>
          </w:p>
        </w:tc>
        <w:tc>
          <w:tcPr>
            <w:tcW w:type="dxa" w:w="6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Quick-win delivery, training development, and organizational enablement</w:t>
            </w:r>
          </w:p>
        </w:tc>
      </w:tr>
    </w:tbl>
    <w:p>
      <w:pPr>
        <w:spacing w:before="60" w:after="0"/>
      </w:pPr>
    </w:p>
    <w:p>
      <w:pPr>
        <w:spacing w:before="60" w:after="60" w:line="276"/>
      </w:pPr>
      <w:r>
        <w:rPr>
          <w:rFonts w:ascii="Arial" w:cs="Arial" w:eastAsia="Arial" w:hAnsi="Arial"/>
          <w:color w:val="333333"/>
          <w:sz w:val="20"/>
          <w:szCs w:val="20"/>
        </w:rPr>
        <w:t xml:space="preserve">For Phase 2 scaling, AIIM will have access to SoftHouse's broader engineering team of 300+ developers and technical specialists.</w:t>
      </w:r>
    </w:p>
    <w:p>
      <w:pPr>
        <w:pStyle w:val="Heading2"/>
        <w:spacing w:before="280" w:after="160"/>
      </w:pPr>
      <w:r>
        <w:rPr>
          <w:rFonts w:ascii="Arial" w:cs="Arial" w:eastAsia="Arial" w:hAnsi="Arial"/>
          <w:b/>
          <w:bCs/>
          <w:color w:val="2E5090"/>
          <w:sz w:val="26"/>
          <w:szCs w:val="26"/>
        </w:rPr>
        <w:t xml:space="preserve">How We Work</w:t>
      </w:r>
    </w:p>
    <w:p>
      <w:pPr>
        <w:spacing w:before="60" w:after="60" w:line="276"/>
      </w:pPr>
      <w:r>
        <w:rPr>
          <w:rFonts w:ascii="Arial" w:cs="Arial" w:eastAsia="Arial" w:hAnsi="Arial"/>
          <w:color w:val="333333"/>
          <w:sz w:val="20"/>
          <w:szCs w:val="20"/>
        </w:rPr>
        <w:t xml:space="preserve">Our methodology is built on a few core principles:</w:t>
      </w:r>
    </w:p>
    <w:p>
      <w:pPr>
        <w:spacing w:before="40" w:after="0"/>
      </w:pPr>
    </w:p>
    <w:p>
      <w:pPr>
        <w:pStyle w:val="ListParagraph"/>
        <w:numPr>
          <w:ilvl w:val="0"/>
          <w:numId w:val="2"/>
        </w:numPr>
        <w:spacing w:before="40" w:after="40" w:line="276"/>
      </w:pPr>
      <w:r>
        <w:rPr>
          <w:rFonts w:ascii="Arial" w:cs="Arial" w:eastAsia="Arial" w:hAnsi="Arial"/>
          <w:b/>
          <w:bCs/>
          <w:color w:val="333333"/>
          <w:sz w:val="20"/>
          <w:szCs w:val="20"/>
        </w:rPr>
        <w:t xml:space="preserve">Real-time discovery. </w:t>
      </w:r>
      <w:r>
        <w:rPr>
          <w:rFonts w:ascii="Arial" w:cs="Arial" w:eastAsia="Arial" w:hAnsi="Arial"/>
          <w:color w:val="333333"/>
          <w:sz w:val="20"/>
          <w:szCs w:val="20"/>
        </w:rPr>
        <w:t xml:space="preserve">We deliver value from week one. Discovery and implementation happen in parallel, not in sequence. You will see working tools and tangible improvements while we are still mapping the landscape.</w:t>
      </w:r>
    </w:p>
    <w:p>
      <w:pPr>
        <w:pStyle w:val="ListParagraph"/>
        <w:numPr>
          <w:ilvl w:val="0"/>
          <w:numId w:val="2"/>
        </w:numPr>
        <w:spacing w:before="40" w:after="40" w:line="276"/>
      </w:pPr>
      <w:r>
        <w:rPr>
          <w:rFonts w:ascii="Arial" w:cs="Arial" w:eastAsia="Arial" w:hAnsi="Arial"/>
          <w:b/>
          <w:bCs/>
          <w:color w:val="333333"/>
          <w:sz w:val="20"/>
          <w:szCs w:val="20"/>
        </w:rPr>
        <w:t xml:space="preserve">Rapid iteration. </w:t>
      </w:r>
      <w:r>
        <w:rPr>
          <w:rFonts w:ascii="Arial" w:cs="Arial" w:eastAsia="Arial" w:hAnsi="Arial"/>
          <w:color w:val="333333"/>
          <w:sz w:val="20"/>
          <w:szCs w:val="20"/>
        </w:rPr>
        <w:t xml:space="preserve">We work in short cycles - observe, orient, decide, act. Weekly deliverables, weekly feedback, weekly adjustment. No surprises at the end of a long engagement.</w:t>
      </w:r>
    </w:p>
    <w:p>
      <w:pPr>
        <w:pStyle w:val="ListParagraph"/>
        <w:numPr>
          <w:ilvl w:val="0"/>
          <w:numId w:val="2"/>
        </w:numPr>
        <w:spacing w:before="40" w:after="40" w:line="276"/>
      </w:pPr>
      <w:r>
        <w:rPr>
          <w:rFonts w:ascii="Arial" w:cs="Arial" w:eastAsia="Arial" w:hAnsi="Arial"/>
          <w:b/>
          <w:bCs/>
          <w:color w:val="333333"/>
          <w:sz w:val="20"/>
          <w:szCs w:val="20"/>
        </w:rPr>
        <w:t xml:space="preserve">Change management is embedded, not bolted on. </w:t>
      </w:r>
      <w:r>
        <w:rPr>
          <w:rFonts w:ascii="Arial" w:cs="Arial" w:eastAsia="Arial" w:hAnsi="Arial"/>
          <w:color w:val="333333"/>
          <w:sz w:val="20"/>
          <w:szCs w:val="20"/>
        </w:rPr>
        <w:t xml:space="preserve">Training and enablement are a core workstream, not an afterthought. We build champions within your organization and equip them to sustain adoption independently.</w:t>
      </w:r>
    </w:p>
    <w:p>
      <w:pPr>
        <w:pStyle w:val="ListParagraph"/>
        <w:numPr>
          <w:ilvl w:val="0"/>
          <w:numId w:val="2"/>
        </w:numPr>
        <w:spacing w:before="40" w:after="40" w:line="276"/>
      </w:pPr>
      <w:r>
        <w:rPr>
          <w:rFonts w:ascii="Arial" w:cs="Arial" w:eastAsia="Arial" w:hAnsi="Arial"/>
          <w:b/>
          <w:bCs/>
          <w:color w:val="333333"/>
          <w:sz w:val="20"/>
          <w:szCs w:val="20"/>
        </w:rPr>
        <w:t xml:space="preserve">Knowledge transfer is the goal. </w:t>
      </w:r>
      <w:r>
        <w:rPr>
          <w:rFonts w:ascii="Arial" w:cs="Arial" w:eastAsia="Arial" w:hAnsi="Arial"/>
          <w:color w:val="333333"/>
          <w:sz w:val="20"/>
          <w:szCs w:val="20"/>
        </w:rPr>
        <w:t xml:space="preserve">Every tool we build, every process we document, every system we map - we transfer that knowledge to your team. The measure of our success is your self-sufficiency.</w:t>
      </w:r>
    </w:p>
    <w:p>
      <w:pPr>
        <w:pStyle w:val="ListParagraph"/>
        <w:numPr>
          <w:ilvl w:val="0"/>
          <w:numId w:val="2"/>
        </w:numPr>
        <w:spacing w:before="40" w:after="40" w:line="276"/>
      </w:pPr>
      <w:r>
        <w:rPr>
          <w:rFonts w:ascii="Arial" w:cs="Arial" w:eastAsia="Arial" w:hAnsi="Arial"/>
          <w:b/>
          <w:bCs/>
          <w:color w:val="333333"/>
          <w:sz w:val="20"/>
          <w:szCs w:val="20"/>
        </w:rPr>
        <w:t xml:space="preserve">Compliance-aware by design. </w:t>
      </w:r>
      <w:r>
        <w:rPr>
          <w:rFonts w:ascii="Arial" w:cs="Arial" w:eastAsia="Arial" w:hAnsi="Arial"/>
          <w:color w:val="333333"/>
          <w:sz w:val="20"/>
          <w:szCs w:val="20"/>
        </w:rPr>
        <w:t xml:space="preserve">Given AIIM's SOC 2 Type II certification, ISO 9001 compliance, and the regulated nature of your client base, governance is integrated into every workstream from day one.</w:t>
      </w:r>
    </w:p>
    <w:p>
      <w:r>
        <w:br w:type="page"/>
      </w:r>
    </w:p>
    <w:p>
      <w:pPr>
        <w:pStyle w:val="Heading1"/>
        <w:spacing w:before="360" w:after="200"/>
      </w:pPr>
      <w:r>
        <w:rPr>
          <w:rFonts w:ascii="Arial" w:cs="Arial" w:eastAsia="Arial" w:hAnsi="Arial"/>
          <w:b/>
          <w:bCs/>
          <w:color w:val="1B2A4A"/>
          <w:sz w:val="32"/>
          <w:szCs w:val="32"/>
        </w:rPr>
        <w:t xml:space="preserve">Why SoftHouse</w:t>
      </w:r>
    </w:p>
    <w:p>
      <w:pPr>
        <w:spacing w:before="60" w:after="60" w:line="276"/>
      </w:pPr>
      <w:r>
        <w:rPr>
          <w:rFonts w:ascii="Arial" w:cs="Arial" w:eastAsia="Arial" w:hAnsi="Arial"/>
          <w:color w:val="333333"/>
          <w:sz w:val="20"/>
          <w:szCs w:val="20"/>
        </w:rPr>
        <w:t xml:space="preserve">SoftHouse Advisory is a global AI consultancy with over 300 developers and technical specialists serving clients across the US, Canada, UK, and Europe. We specialize in helping organizations build internal AI capability - not in creating ongoing dependency.</w:t>
      </w:r>
    </w:p>
    <w:p>
      <w:pPr>
        <w:spacing w:before="60" w:after="0"/>
      </w:pPr>
    </w:p>
    <w:p>
      <w:pPr>
        <w:spacing w:before="60" w:after="60" w:line="276"/>
      </w:pPr>
      <w:r>
        <w:rPr>
          <w:rFonts w:ascii="Arial" w:cs="Arial" w:eastAsia="Arial" w:hAnsi="Arial"/>
          <w:color w:val="333333"/>
          <w:sz w:val="20"/>
          <w:szCs w:val="20"/>
        </w:rPr>
        <w:t xml:space="preserve">What distinguishes our approach for AIIM:</w:t>
      </w:r>
    </w:p>
    <w:p>
      <w:pPr>
        <w:spacing w:before="40" w:after="0"/>
      </w:pPr>
    </w:p>
    <w:p>
      <w:pPr>
        <w:pStyle w:val="ListParagraph"/>
        <w:numPr>
          <w:ilvl w:val="0"/>
          <w:numId w:val="2"/>
        </w:numPr>
        <w:spacing w:before="40" w:after="40" w:line="276"/>
      </w:pPr>
      <w:r>
        <w:rPr>
          <w:rFonts w:ascii="Arial" w:cs="Arial" w:eastAsia="Arial" w:hAnsi="Arial"/>
          <w:b/>
          <w:bCs/>
          <w:color w:val="333333"/>
          <w:sz w:val="20"/>
          <w:szCs w:val="20"/>
        </w:rPr>
        <w:t xml:space="preserve">We don't outsource your AI. </w:t>
      </w:r>
      <w:r>
        <w:rPr>
          <w:rFonts w:ascii="Arial" w:cs="Arial" w:eastAsia="Arial" w:hAnsi="Arial"/>
          <w:color w:val="333333"/>
          <w:sz w:val="20"/>
          <w:szCs w:val="20"/>
        </w:rPr>
        <w:t xml:space="preserve">We build your internal capability. Every engagement is designed with a clear path to client self-sufficiency.</w:t>
      </w:r>
    </w:p>
    <w:p>
      <w:pPr>
        <w:pStyle w:val="ListParagraph"/>
        <w:numPr>
          <w:ilvl w:val="0"/>
          <w:numId w:val="2"/>
        </w:numPr>
        <w:spacing w:before="40" w:after="40" w:line="276"/>
      </w:pPr>
      <w:r>
        <w:rPr>
          <w:rFonts w:ascii="Arial" w:cs="Arial" w:eastAsia="Arial" w:hAnsi="Arial"/>
          <w:b/>
          <w:bCs/>
          <w:color w:val="333333"/>
          <w:sz w:val="20"/>
          <w:szCs w:val="20"/>
        </w:rPr>
        <w:t xml:space="preserve">Legacy system assessment using Claude Code. </w:t>
      </w:r>
      <w:r>
        <w:rPr>
          <w:rFonts w:ascii="Arial" w:cs="Arial" w:eastAsia="Arial" w:hAnsi="Arial"/>
          <w:color w:val="333333"/>
          <w:sz w:val="20"/>
          <w:szCs w:val="20"/>
        </w:rPr>
        <w:t xml:space="preserve">No other consultancy offers AI-powered code and schema analysis at this depth. We can ingest entire repositories, document undocumented systems, and map integration points in days rather than months.</w:t>
      </w:r>
    </w:p>
    <w:p>
      <w:pPr>
        <w:pStyle w:val="ListParagraph"/>
        <w:numPr>
          <w:ilvl w:val="0"/>
          <w:numId w:val="2"/>
        </w:numPr>
        <w:spacing w:before="40" w:after="40" w:line="276"/>
      </w:pPr>
      <w:r>
        <w:rPr>
          <w:rFonts w:ascii="Arial" w:cs="Arial" w:eastAsia="Arial" w:hAnsi="Arial"/>
          <w:b/>
          <w:bCs/>
          <w:color w:val="333333"/>
          <w:sz w:val="20"/>
          <w:szCs w:val="20"/>
        </w:rPr>
        <w:t xml:space="preserve">Real-time discovery that delivers from day one. </w:t>
      </w:r>
      <w:r>
        <w:rPr>
          <w:rFonts w:ascii="Arial" w:cs="Arial" w:eastAsia="Arial" w:hAnsi="Arial"/>
          <w:color w:val="333333"/>
          <w:sz w:val="20"/>
          <w:szCs w:val="20"/>
        </w:rPr>
        <w:t xml:space="preserve">We don't produce reports that collect dust. You will have working tools and implemented quick wins while discovery is still in progress.</w:t>
      </w:r>
    </w:p>
    <w:p>
      <w:pPr>
        <w:pStyle w:val="ListParagraph"/>
        <w:numPr>
          <w:ilvl w:val="0"/>
          <w:numId w:val="2"/>
        </w:numPr>
        <w:spacing w:before="40" w:after="40" w:line="276"/>
      </w:pPr>
      <w:r>
        <w:rPr>
          <w:rFonts w:ascii="Arial" w:cs="Arial" w:eastAsia="Arial" w:hAnsi="Arial"/>
          <w:b/>
          <w:bCs/>
          <w:color w:val="333333"/>
          <w:sz w:val="20"/>
          <w:szCs w:val="20"/>
        </w:rPr>
        <w:t xml:space="preserve">Track record in regulated industries. </w:t>
      </w:r>
      <w:r>
        <w:rPr>
          <w:rFonts w:ascii="Arial" w:cs="Arial" w:eastAsia="Arial" w:hAnsi="Arial"/>
          <w:color w:val="333333"/>
          <w:sz w:val="20"/>
          <w:szCs w:val="20"/>
        </w:rPr>
        <w:t xml:space="preserve">We work with organizations in financial services and compliance-driven communications. We understand the governance, security, and data handling requirements that come with this territory.</w:t>
      </w:r>
    </w:p>
    <w:p>
      <w:pPr>
        <w:pStyle w:val="ListParagraph"/>
        <w:numPr>
          <w:ilvl w:val="0"/>
          <w:numId w:val="2"/>
        </w:numPr>
        <w:spacing w:before="40" w:after="40" w:line="276"/>
      </w:pPr>
      <w:r>
        <w:rPr>
          <w:rFonts w:ascii="Arial" w:cs="Arial" w:eastAsia="Arial" w:hAnsi="Arial"/>
          <w:b/>
          <w:bCs/>
          <w:color w:val="333333"/>
          <w:sz w:val="20"/>
          <w:szCs w:val="20"/>
        </w:rPr>
        <w:t xml:space="preserve">Scalable engineering capacity. </w:t>
      </w:r>
      <w:r>
        <w:rPr>
          <w:rFonts w:ascii="Arial" w:cs="Arial" w:eastAsia="Arial" w:hAnsi="Arial"/>
          <w:color w:val="333333"/>
          <w:sz w:val="20"/>
          <w:szCs w:val="20"/>
        </w:rPr>
        <w:t xml:space="preserve">A core team of four for the initial engagement, with 300+ engineers available when implementation demands it.</w:t>
      </w:r>
    </w:p>
    <w:p>
      <w:pPr>
        <w:pStyle w:val="ListParagraph"/>
        <w:numPr>
          <w:ilvl w:val="0"/>
          <w:numId w:val="2"/>
        </w:numPr>
        <w:spacing w:before="40" w:after="40" w:line="276"/>
      </w:pPr>
      <w:r>
        <w:rPr>
          <w:rFonts w:ascii="Arial" w:cs="Arial" w:eastAsia="Arial" w:hAnsi="Arial"/>
          <w:b/>
          <w:bCs/>
          <w:color w:val="333333"/>
          <w:sz w:val="20"/>
          <w:szCs w:val="20"/>
        </w:rPr>
        <w:t xml:space="preserve">Partnership, not a vendor relationship. </w:t>
      </w:r>
      <w:r>
        <w:rPr>
          <w:rFonts w:ascii="Arial" w:cs="Arial" w:eastAsia="Arial" w:hAnsi="Arial"/>
          <w:color w:val="333333"/>
          <w:sz w:val="20"/>
          <w:szCs w:val="20"/>
        </w:rPr>
        <w:t xml:space="preserve">We are proposing to walk alongside AIIM through this transformation - adapting, iterating, and adjusting as we learn together.</w:t>
      </w:r>
    </w:p>
    <w:p>
      <w:pPr>
        <w:spacing w:before="200" w:after="0"/>
      </w:pPr>
    </w:p>
    <w:p>
      <w:pPr>
        <w:pStyle w:val="Heading1"/>
        <w:spacing w:before="360" w:after="200"/>
      </w:pPr>
      <w:r>
        <w:rPr>
          <w:rFonts w:ascii="Arial" w:cs="Arial" w:eastAsia="Arial" w:hAnsi="Arial"/>
          <w:b/>
          <w:bCs/>
          <w:color w:val="1B2A4A"/>
          <w:sz w:val="32"/>
          <w:szCs w:val="32"/>
        </w:rPr>
        <w:t xml:space="preserve">Next Steps</w:t>
      </w:r>
    </w:p>
    <w:p>
      <w:pPr>
        <w:spacing w:before="60" w:after="60" w:line="276"/>
      </w:pPr>
      <w:r>
        <w:rPr>
          <w:rFonts w:ascii="Arial" w:cs="Arial" w:eastAsia="Arial" w:hAnsi="Arial"/>
          <w:color w:val="333333"/>
          <w:sz w:val="20"/>
          <w:szCs w:val="20"/>
        </w:rPr>
        <w:t xml:space="preserve">We suggest the following path forward:</w:t>
      </w:r>
    </w:p>
    <w:p>
      <w:pPr>
        <w:spacing w:before="40" w:after="0"/>
      </w:pPr>
    </w:p>
    <w:p>
      <w:pPr>
        <w:pStyle w:val="ListParagraph"/>
        <w:numPr>
          <w:ilvl w:val="0"/>
          <w:numId w:val="4"/>
        </w:numPr>
        <w:spacing w:before="40" w:after="40" w:line="276"/>
      </w:pPr>
      <w:r>
        <w:rPr>
          <w:rFonts w:ascii="Arial" w:cs="Arial" w:eastAsia="Arial" w:hAnsi="Arial"/>
          <w:b/>
          <w:bCs/>
          <w:color w:val="333333"/>
          <w:sz w:val="20"/>
          <w:szCs w:val="20"/>
        </w:rPr>
        <w:t xml:space="preserve">Review this proposal </w:t>
      </w:r>
      <w:r>
        <w:rPr>
          <w:rFonts w:ascii="Arial" w:cs="Arial" w:eastAsia="Arial" w:hAnsi="Arial"/>
          <w:color w:val="333333"/>
          <w:sz w:val="20"/>
          <w:szCs w:val="20"/>
        </w:rPr>
        <w:t xml:space="preserve">and share any questions, adjustments, or areas you'd like us to expand on</w:t>
      </w:r>
    </w:p>
    <w:p>
      <w:pPr>
        <w:pStyle w:val="ListParagraph"/>
        <w:numPr>
          <w:ilvl w:val="0"/>
          <w:numId w:val="4"/>
        </w:numPr>
        <w:spacing w:before="40" w:after="40" w:line="276"/>
      </w:pPr>
      <w:r>
        <w:rPr>
          <w:rFonts w:ascii="Arial" w:cs="Arial" w:eastAsia="Arial" w:hAnsi="Arial"/>
          <w:b/>
          <w:bCs/>
          <w:color w:val="333333"/>
          <w:sz w:val="20"/>
          <w:szCs w:val="20"/>
        </w:rPr>
        <w:t xml:space="preserve">Schedule the Executive Alignment Workshop </w:t>
      </w:r>
      <w:r>
        <w:rPr>
          <w:rFonts w:ascii="Arial" w:cs="Arial" w:eastAsia="Arial" w:hAnsi="Arial"/>
          <w:color w:val="333333"/>
          <w:sz w:val="20"/>
          <w:szCs w:val="20"/>
        </w:rPr>
        <w:t xml:space="preserve">- this can happen within two weeks of agreement and serves as our starting point</w:t>
      </w:r>
    </w:p>
    <w:p>
      <w:pPr>
        <w:pStyle w:val="ListParagraph"/>
        <w:numPr>
          <w:ilvl w:val="0"/>
          <w:numId w:val="4"/>
        </w:numPr>
        <w:spacing w:before="40" w:after="40" w:line="276"/>
      </w:pPr>
      <w:r>
        <w:rPr>
          <w:rFonts w:ascii="Arial" w:cs="Arial" w:eastAsia="Arial" w:hAnsi="Arial"/>
          <w:b/>
          <w:bCs/>
          <w:color w:val="333333"/>
          <w:sz w:val="20"/>
          <w:szCs w:val="20"/>
        </w:rPr>
        <w:t xml:space="preserve">Begin Phase 1 </w:t>
      </w:r>
      <w:r>
        <w:rPr>
          <w:rFonts w:ascii="Arial" w:cs="Arial" w:eastAsia="Arial" w:hAnsi="Arial"/>
          <w:color w:val="333333"/>
          <w:sz w:val="20"/>
          <w:szCs w:val="20"/>
        </w:rPr>
        <w:t xml:space="preserve">immediately following the workshop, with the initial engagement running eight weeks</w:t>
      </w:r>
    </w:p>
    <w:p>
      <w:pPr>
        <w:spacing w:before="100" w:after="0"/>
      </w:pPr>
    </w:p>
    <w:p>
      <w:pPr>
        <w:spacing w:before="60" w:after="60" w:line="276"/>
      </w:pPr>
      <w:r>
        <w:rPr>
          <w:rFonts w:ascii="Arial" w:cs="Arial" w:eastAsia="Arial" w:hAnsi="Arial"/>
          <w:color w:val="333333"/>
          <w:sz w:val="20"/>
          <w:szCs w:val="20"/>
        </w:rPr>
        <w:t xml:space="preserve">We look forward to working with AIIM on this transformation. The combination of your domain expertise, data assets, and market position with SoftHouse's AI implementation capability creates an opportunity to build something exceptional.</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B" w:sz="2"/>
              <w:left w:val="none" w:sz="0"/>
              <w:bottom w:val="none" w:sz="0"/>
              <w:right w:val="none" w:sz="0"/>
            </w:tcBorders>
            <w:tcMar>
              <w:top w:type="dxa" w:w="120"/>
              <w:left w:type="dxa" w:w="0"/>
              <w:bottom w:type="dxa" w:w="60"/>
              <w:right w:type="dxa" w:w="0"/>
            </w:tcMar>
          </w:tcPr>
          <w:p>
            <w:r>
              <w:rPr>
                <w:rFonts w:ascii="Arial" w:cs="Arial" w:eastAsia="Arial" w:hAnsi="Arial"/>
                <w:b/>
                <w:bCs/>
                <w:color w:val="1B2A4A"/>
                <w:sz w:val="20"/>
                <w:szCs w:val="20"/>
              </w:rPr>
              <w:t xml:space="preserve">Rob Williams</w:t>
            </w:r>
          </w:p>
          <w:p>
            <w:r>
              <w:rPr>
                <w:rFonts w:ascii="Arial" w:cs="Arial" w:eastAsia="Arial" w:hAnsi="Arial"/>
                <w:color w:val="666666"/>
                <w:sz w:val="18"/>
                <w:szCs w:val="18"/>
              </w:rPr>
              <w:t xml:space="preserve">Chief AI Officer, SoftHouse Advisory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2E5090"/>
        <w:sz w:val="16"/>
        <w:szCs w:val="16"/>
      </w:rPr>
      <w:t xml:space="preserve">SoftHouse Advisory</w:t>
    </w:r>
    <w:r>
      <w:rPr>
        <w:rFonts w:ascii="Arial" w:cs="Arial" w:eastAsia="Arial" w:hAnsi="Arial"/>
        <w:color w:val="999999"/>
        <w:sz w:val="16"/>
        <w:szCs w:val="16"/>
      </w:rPr>
      <w:t xml:space="preserve">  |  AIIM Group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2026-02-12T23:09:34.699Z</dcterms:created>
  <dcterms:modified xsi:type="dcterms:W3CDTF">2026-02-12T23:09:34.699Z</dcterms:modified>
</cp:coreProperties>
</file>

<file path=docProps/custom.xml><?xml version="1.0" encoding="utf-8"?>
<Properties xmlns="http://schemas.openxmlformats.org/officeDocument/2006/custom-properties" xmlns:vt="http://schemas.openxmlformats.org/officeDocument/2006/docPropsVTypes"/>
</file>