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Employee ID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Full Name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Email Address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Hire Date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Annual Salary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Is Active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BrandTable" w:default="true" w:customStyle="true">
    <w:name w:val="BrandTable"/>
    <w:tblPr>
      <w:tblBorders>
        <w:top w:val="double" w:color="1F4E79" w:sz="12"/>
        <w:bottom w:val="double" w:color="1F4E79" w:sz="12"/>
        <w:insideH w:val="single" w:color="1F4E79" w:sz="4"/>
      </w:tblBorders>
      <w:tblCellMar>
        <w:top w:w="60" w:type="dxa"/>
        <w:bottom w:w="60" w:type="dxa"/>
      </w:tblCellMar>
    </w:tblPr>
    <w:tblStylePr w:type="firstRow">
      <w:rPr>
        <w:b/>
        <w:color w:val="FFFFFF"/>
      </w:rPr>
      <w:tcPr>
        <w:shd w:val="clear" w:color="auto" w:fill="1F4E79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