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Comprehensive Word Document</w:t>
      </w:r>
    </w:p>
    <w:p>
      <w:pPr>
        <w:spacing w:before="200" w:after="400"/>
        <w:jc w:val="center"/>
      </w:pPr>
      <w:r>
        <w:rPr>
          <w:i/>
          <w:iCs/>
          <w:color w:val="5A5A5A"/>
          <w:sz w:val="28"/>
          <w:szCs w:val="28"/>
        </w:rPr>
        <w:t xml:space="preserve">A Complete Formatting Test Sample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Version 1.0 — January 2026</w:t>
      </w:r>
    </w:p>
    <w:p>
      <w:r>
        <w:br w:type="page"/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Text Formatting</w:t>
      </w:r>
    </w:p>
    <w:p>
      <w:pPr>
        <w:pStyle w:val="Heading2"/>
      </w:pPr>
      <w:r>
        <w:t xml:space="preserve">1.1 Basic Text Styles</w:t>
      </w:r>
    </w:p>
    <w:p>
      <w:r>
        <w:t xml:space="preserve">This paragraph demonstrates various text formatting options. </w:t>
      </w:r>
      <w:r>
        <w:rPr>
          <w:b/>
          <w:bCs/>
        </w:rPr>
        <w:t xml:space="preserve">Bold text</w:t>
      </w:r>
      <w:r>
        <w:t xml:space="preserve"> is used for emphasis, while </w:t>
      </w:r>
      <w:r>
        <w:rPr>
          <w:i/>
          <w:iCs/>
        </w:rPr>
        <w:t xml:space="preserve">italic text</w:t>
      </w:r>
      <w:r>
        <w:t xml:space="preserve"> provides subtle emphasis. You can also use </w:t>
      </w:r>
      <w:r>
        <w:rPr>
          <w:b/>
          <w:bCs/>
          <w:i/>
          <w:iCs/>
        </w:rPr>
        <w:t xml:space="preserve">bold italic</w:t>
      </w:r>
      <w:r>
        <w:t xml:space="preserve"> for strong emphasis.</w:t>
      </w:r>
    </w:p>
    <w:p>
      <w:pPr>
        <w:spacing w:before="120"/>
      </w:pPr>
      <w:r>
        <w:t xml:space="preserve">Underline styles include: </w:t>
      </w:r>
      <w:r>
        <w:rPr>
          <w:u w:val="single"/>
        </w:rPr>
        <w:t xml:space="preserve">single underline</w:t>
      </w:r>
      <w:r>
        <w:t xml:space="preserve">, </w:t>
      </w:r>
      <w:r>
        <w:rPr>
          <w:u w:val="double"/>
        </w:rPr>
        <w:t xml:space="preserve">double underline</w:t>
      </w:r>
      <w:r>
        <w:t xml:space="preserve">, </w:t>
      </w:r>
      <w:r>
        <w:rPr>
          <w:u w:val="wave"/>
        </w:rPr>
        <w:t xml:space="preserve">wavy underline</w:t>
      </w:r>
      <w:r>
        <w:t xml:space="preserve">, and </w:t>
      </w:r>
      <w:r>
        <w:rPr>
          <w:u w:val="dotted"/>
        </w:rPr>
        <w:t xml:space="preserve">dotted underline</w:t>
      </w:r>
      <w:r>
        <w:t xml:space="preserve">.</w:t>
      </w:r>
    </w:p>
    <w:p>
      <w:pPr>
        <w:spacing w:before="120"/>
      </w:pPr>
      <w:r>
        <w:rPr>
          <w:strike/>
        </w:rPr>
        <w:t xml:space="preserve">Strikethrough</w:t>
      </w:r>
      <w:r>
        <w:t xml:space="preserve"> marks deleted content. </w:t>
      </w:r>
      <w:r>
        <w:rPr>
          <w:dstrike/>
        </w:rPr>
        <w:t xml:space="preserve">Double strikethrough</w:t>
      </w:r>
      <w:r>
        <w:t xml:space="preserve"> is even more emphatic.</w:t>
      </w:r>
    </w:p>
    <w:p>
      <w:pPr>
        <w:pStyle w:val="Heading2"/>
      </w:pPr>
      <w:r>
        <w:t xml:space="preserve">1.2 Superscript and Subscript</w:t>
      </w:r>
    </w:p>
    <w:p>
      <w:r>
        <w:t xml:space="preserve">Mathematical notation: E = mc</w:t>
      </w:r>
      <w:r>
        <w:rPr>
          <w:vertAlign w:val="superscript"/>
        </w:rPr>
        <w:t xml:space="preserve">2</w:t>
      </w:r>
      <w:r>
        <w:t xml:space="preserve"> and chemical formulas like H</w:t>
      </w:r>
      <w:r>
        <w:rPr>
          <w:vertAlign w:val="subscript"/>
        </w:rPr>
        <w:t xml:space="preserve">2</w:t>
      </w:r>
      <w:r>
        <w:t xml:space="preserve">O or CO</w:t>
      </w:r>
      <w:r>
        <w:rPr>
          <w:vertAlign w:val="subscript"/>
        </w:rPr>
        <w:t xml:space="preserve">2</w:t>
      </w:r>
      <w:r>
        <w:t xml:space="preserve">. Footnote references appear as superscript</w:t>
      </w:r>
      <w:r>
        <w:rPr>
          <w:vertAlign w:val="superscript"/>
        </w:rPr>
        <w:t xml:space="preserve">1</w:t>
      </w:r>
      <w:r>
        <w:t xml:space="preserve">.</w:t>
      </w:r>
    </w:p>
    <w:p>
      <w:pPr>
        <w:pStyle w:val="Heading2"/>
      </w:pPr>
      <w:r>
        <w:t xml:space="preserve">1.3 Font Colors and Highlighting</w:t>
      </w:r>
    </w:p>
    <w:p>
      <w:r>
        <w:rPr>
          <w:color w:val="FF0000"/>
        </w:rPr>
        <w:t xml:space="preserve">Red text</w:t>
      </w:r>
      <w:r>
        <w:t xml:space="preserve"> contrasts with </w:t>
      </w:r>
      <w:r>
        <w:rPr>
          <w:color w:val="0000FF"/>
        </w:rPr>
        <w:t xml:space="preserve">blue text</w:t>
      </w:r>
      <w:r>
        <w:t xml:space="preserve"> and </w:t>
      </w:r>
      <w:r>
        <w:rPr>
          <w:color w:val="008000"/>
        </w:rPr>
        <w:t xml:space="preserve">green text</w:t>
      </w:r>
      <w:r>
        <w:t xml:space="preserve">. Background highlighting: </w:t>
      </w:r>
      <w:r>
        <w:rPr>
          <w:highlight w:val="yellow"/>
          <w:highlightCs w:val="yellow"/>
        </w:rPr>
        <w:t xml:space="preserve">yellow highlight</w:t>
      </w:r>
      <w:r>
        <w:t xml:space="preserve">, </w:t>
      </w:r>
      <w:r>
        <w:rPr>
          <w:highlight w:val="cyan"/>
          <w:highlightCs w:val="cyan"/>
        </w:rPr>
        <w:t xml:space="preserve">cyan highlight</w:t>
      </w:r>
      <w:r>
        <w:t xml:space="preserve">, and </w:t>
      </w:r>
      <w:r>
        <w:rPr>
          <w:highlight w:val="magenta"/>
          <w:highlightCs w:val="magenta"/>
        </w:rPr>
        <w:t xml:space="preserve">magenta highlight</w:t>
      </w:r>
      <w:r>
        <w:t xml:space="preserve">.</w:t>
      </w:r>
    </w:p>
    <w:p>
      <w:pPr>
        <w:pStyle w:val="Heading2"/>
      </w:pPr>
      <w:r>
        <w:t xml:space="preserve">1.4 Font Sizes and Families</w:t>
      </w:r>
    </w:p>
    <w:p>
      <w:r>
        <w:rPr>
          <w:sz w:val="16"/>
          <w:szCs w:val="16"/>
        </w:rPr>
        <w:t xml:space="preserve">Small (8pt)</w:t>
      </w:r>
      <w:r>
        <w:t xml:space="preserve"> → </w:t>
      </w:r>
      <w:r>
        <w:rPr>
          <w:sz w:val="24"/>
          <w:szCs w:val="24"/>
        </w:rPr>
        <w:t xml:space="preserve">Normal (12pt)</w:t>
      </w:r>
      <w:r>
        <w:t xml:space="preserve"> → </w:t>
      </w:r>
      <w:r>
        <w:rPr>
          <w:sz w:val="36"/>
          <w:szCs w:val="36"/>
        </w:rPr>
        <w:t xml:space="preserve">Large (18pt)</w:t>
      </w:r>
      <w:r>
        <w:t xml:space="preserve"> → </w:t>
      </w:r>
      <w:r>
        <w:rPr>
          <w:sz w:val="48"/>
          <w:szCs w:val="48"/>
        </w:rPr>
        <w:t xml:space="preserve">Huge (24pt)</w:t>
      </w:r>
    </w:p>
    <w:p>
      <w:pPr>
        <w:spacing w:before="120"/>
      </w:pPr>
      <w:r>
        <w:rPr>
          <w:rFonts w:ascii="Arial" w:cs="Arial" w:eastAsia="Arial" w:hAnsi="Arial"/>
        </w:rPr>
        <w:t xml:space="preserve">Arial (default)</w:t>
      </w:r>
      <w:r>
        <w:t xml:space="preserve"> | </w:t>
      </w:r>
      <w:r>
        <w:rPr>
          <w:rFonts w:ascii="Times New Roman" w:cs="Times New Roman" w:eastAsia="Times New Roman" w:hAnsi="Times New Roman"/>
        </w:rPr>
        <w:t xml:space="preserve">Times New Roman</w:t>
      </w:r>
      <w:r>
        <w:t xml:space="preserve"> | </w:t>
      </w:r>
      <w:r>
        <w:rPr>
          <w:rFonts w:ascii="Georgia" w:cs="Georgia" w:eastAsia="Georgia" w:hAnsi="Georgia"/>
        </w:rPr>
        <w:t xml:space="preserve">Georgia</w:t>
      </w:r>
      <w:r>
        <w:t xml:space="preserve"> | </w:t>
      </w:r>
      <w:r>
        <w:rPr>
          <w:rFonts w:ascii="Courier New" w:cs="Courier New" w:eastAsia="Courier New" w:hAnsi="Courier New"/>
        </w:rPr>
        <w:t xml:space="preserve">Courier New</w:t>
      </w:r>
      <w:r>
        <w:t xml:space="preserve"> | </w:t>
      </w:r>
      <w:r>
        <w:rPr>
          <w:rFonts w:ascii="Verdana" w:cs="Verdana" w:eastAsia="Verdana" w:hAnsi="Verdana"/>
        </w:rPr>
        <w:t xml:space="preserve">Verdana</w:t>
      </w:r>
    </w:p>
    <w:p>
      <w:pPr>
        <w:pStyle w:val="Heading2"/>
      </w:pPr>
      <w:r>
        <w:t xml:space="preserve">1.5 Special Text Effects</w:t>
      </w:r>
    </w:p>
    <w:p>
      <w:r>
        <w:rPr>
          <w:smallCaps/>
        </w:rPr>
        <w:t xml:space="preserve">SMALL CAPS FOR ACRONYMS</w:t>
      </w:r>
      <w:r>
        <w:t xml:space="preserve"> and </w:t>
      </w:r>
      <w:r>
        <w:rPr>
          <w:caps/>
        </w:rPr>
        <w:t xml:space="preserve">ALL CAPS FOR SHOUTING</w:t>
      </w:r>
      <w:r>
        <w:t xml:space="preserve">.</w:t>
      </w:r>
    </w:p>
    <w:p>
      <w:pPr>
        <w:pStyle w:val="Heading1"/>
      </w:pPr>
      <w:r>
        <w:t xml:space="preserve">2. Paragraph Formatting</w:t>
      </w:r>
    </w:p>
    <w:p>
      <w:pPr>
        <w:pStyle w:val="Heading2"/>
      </w:pPr>
      <w:r>
        <w:t xml:space="preserve">2.1 Alignment Options</w:t>
      </w:r>
    </w:p>
    <w:p>
      <w:pPr>
        <w:jc w:val="left"/>
      </w:pPr>
      <w:r>
        <w:t xml:space="preserve">This paragraph is left-aligned (the default). Text flows naturally from the left margin.</w:t>
      </w:r>
    </w:p>
    <w:p>
      <w:pPr>
        <w:spacing w:before="120"/>
        <w:jc w:val="center"/>
      </w:pPr>
      <w:r>
        <w:t xml:space="preserve">This paragraph is center-aligned. It's often used for titles and headings.</w:t>
      </w:r>
    </w:p>
    <w:p>
      <w:pPr>
        <w:spacing w:before="120"/>
        <w:jc w:val="right"/>
      </w:pPr>
      <w:r>
        <w:t xml:space="preserve">This paragraph is right-aligned. Useful for dates and signatures.</w:t>
      </w:r>
    </w:p>
    <w:p>
      <w:pPr>
        <w:spacing w:before="120"/>
        <w:jc w:val="both"/>
      </w:pPr>
      <w:r>
        <w:t xml:space="preserve">This paragraph is fully justified. The text is spaced so that both the left and right margins are straight. This creates a very formal, book-like appearance and is commonly used in professional documents, academic papers, and newspapers.</w:t>
      </w:r>
    </w:p>
    <w:p>
      <w:pPr>
        <w:pStyle w:val="Heading2"/>
      </w:pPr>
      <w:r>
        <w:t xml:space="preserve">2.2 Indentation</w:t>
      </w:r>
    </w:p>
    <w:p>
      <w:pPr>
        <w:ind w:left="720"/>
      </w:pPr>
      <w:r>
        <w:t xml:space="preserve">This paragraph has a left indent of 0.5 inches, which pushes it away from the left margin.</w:t>
      </w:r>
    </w:p>
    <w:p>
      <w:pPr>
        <w:spacing w:before="120"/>
        <w:ind w:left="1440" w:right="1440"/>
      </w:pPr>
      <w:r>
        <w:t xml:space="preserve">This paragraph has both left and right indents of 1 inch, creating a narrower text block commonly used for quotations.</w:t>
      </w:r>
    </w:p>
    <w:p>
      <w:pPr>
        <w:spacing w:before="120"/>
        <w:ind w:firstLine="720"/>
      </w:pPr>
      <w:r>
        <w:t xml:space="preserve">This paragraph has a first-line indent of 0.5 inches, which is the traditional way to indicate a new paragraph in many writing styles without adding extra space between paragraphs.</w:t>
      </w:r>
    </w:p>
    <w:p>
      <w:pPr>
        <w:spacing w:before="120"/>
        <w:ind w:left="720" w:hanging="360"/>
      </w:pPr>
      <w:r>
        <w:t xml:space="preserve">This paragraph has a hanging indent, where the first line starts at the left margin but subsequent lines are indented. This style is often used in bibliographies and reference lists.</w:t>
      </w:r>
    </w:p>
    <w:p>
      <w:pPr>
        <w:pStyle w:val="Heading2"/>
      </w:pPr>
      <w:r>
        <w:t xml:space="preserve">2.3 Custom Styles</w:t>
      </w:r>
    </w:p>
    <w:p>
      <w:pPr>
        <w:pStyle w:val="Quote"/>
      </w:pPr>
      <w:r>
        <w:t xml:space="preserve">"The only way to do great work is to love what you do." — Steve Jobs. This uses a custom Quote style with italics and indentation.</w:t>
      </w:r>
    </w:p>
    <w:p>
      <w:pPr>
        <w:pStyle w:val="Code"/>
        <w:spacing w:before="120"/>
      </w:pPr>
      <w:r>
        <w:t xml:space="preserve">function helloWorld() { console.log('Hello, World!'); }</w:t>
      </w:r>
    </w:p>
    <w:p>
      <w:pPr>
        <w:pStyle w:val="Heading2"/>
      </w:pPr>
      <w:r>
        <w:t xml:space="preserve">2.4 Tab Stops</w:t>
      </w:r>
    </w:p>
    <w:p>
      <w:pPr>
        <w:tabs>
          <w:tab w:val="left" w:pos="2160"/>
          <w:tab w:val="center" w:pos="4680"/>
          <w:tab w:val="right" w:pos="7200"/>
        </w:tabs>
      </w:pPr>
      <w:r>
        <w:t xml:space="preserve">Left	Center	Right</w:t>
      </w:r>
    </w:p>
    <w:p>
      <w:pPr>
        <w:tabs>
          <w:tab w:val="left" w:pos="2160"/>
          <w:tab w:val="decimal" w:pos="5760"/>
        </w:tabs>
        <w:spacing w:before="120"/>
      </w:pPr>
      <w:r>
        <w:t xml:space="preserve">Item A	$1,234.56</w:t>
      </w:r>
    </w:p>
    <w:p>
      <w:pPr>
        <w:tabs>
          <w:tab w:val="left" w:pos="2160"/>
          <w:tab w:val="decimal" w:pos="5760"/>
        </w:tabs>
      </w:pPr>
      <w:r>
        <w:t xml:space="preserve">Item B	$45.00</w:t>
      </w:r>
    </w:p>
    <w:p>
      <w:pPr>
        <w:pStyle w:val="Heading1"/>
      </w:pPr>
      <w:r>
        <w:t xml:space="preserve">3. Lists</w:t>
      </w:r>
    </w:p>
    <w:p>
      <w:pPr>
        <w:pStyle w:val="Heading2"/>
      </w:pPr>
      <w:r>
        <w:t xml:space="preserve">3.1 Bullet Lists</w:t>
      </w:r>
    </w:p>
    <w:p>
      <w:pPr>
        <w:pStyle w:val="ListParagraph"/>
        <w:numPr>
          <w:ilvl w:val="0"/>
          <w:numId w:val="2"/>
        </w:numPr>
      </w:pPr>
      <w:r>
        <w:t xml:space="preserve">First-level bullet item</w:t>
      </w:r>
    </w:p>
    <w:p>
      <w:pPr>
        <w:pStyle w:val="ListParagraph"/>
        <w:numPr>
          <w:ilvl w:val="0"/>
          <w:numId w:val="2"/>
        </w:numPr>
      </w:pPr>
      <w:r>
        <w:t xml:space="preserve">Another first-level item</w:t>
      </w:r>
    </w:p>
    <w:p>
      <w:pPr>
        <w:pStyle w:val="ListParagraph"/>
        <w:numPr>
          <w:ilvl w:val="1"/>
          <w:numId w:val="2"/>
        </w:numPr>
      </w:pPr>
      <w:r>
        <w:t xml:space="preserve">Second-level bullet (nested)</w:t>
      </w:r>
    </w:p>
    <w:p>
      <w:pPr>
        <w:pStyle w:val="ListParagraph"/>
        <w:numPr>
          <w:ilvl w:val="1"/>
          <w:numId w:val="2"/>
        </w:numPr>
      </w:pPr>
      <w:r>
        <w:t xml:space="preserve">Another second-level item</w:t>
      </w:r>
    </w:p>
    <w:p>
      <w:pPr>
        <w:pStyle w:val="ListParagraph"/>
        <w:numPr>
          <w:ilvl w:val="2"/>
          <w:numId w:val="2"/>
        </w:numPr>
      </w:pPr>
      <w:r>
        <w:t xml:space="preserve">Third-level bullet (deeply nested)</w:t>
      </w:r>
    </w:p>
    <w:p>
      <w:pPr>
        <w:pStyle w:val="ListParagraph"/>
        <w:numPr>
          <w:ilvl w:val="0"/>
          <w:numId w:val="2"/>
        </w:numPr>
      </w:pPr>
      <w:r>
        <w:t xml:space="preserve">Back to first level</w:t>
      </w:r>
    </w:p>
    <w:p>
      <w:pPr>
        <w:pStyle w:val="Heading2"/>
      </w:pPr>
      <w:r>
        <w:t xml:space="preserve">3.2 Numbered Lists</w:t>
      </w:r>
    </w:p>
    <w:p>
      <w:pPr>
        <w:pStyle w:val="ListParagraph"/>
        <w:numPr>
          <w:ilvl w:val="0"/>
          <w:numId w:val="3"/>
        </w:numPr>
      </w:pPr>
      <w:r>
        <w:t xml:space="preserve">First numbered item</w:t>
      </w:r>
    </w:p>
    <w:p>
      <w:pPr>
        <w:pStyle w:val="ListParagraph"/>
        <w:numPr>
          <w:ilvl w:val="0"/>
          <w:numId w:val="3"/>
        </w:numPr>
      </w:pPr>
      <w:r>
        <w:t xml:space="preserve">Second numbered item</w:t>
      </w:r>
    </w:p>
    <w:p>
      <w:pPr>
        <w:pStyle w:val="ListParagraph"/>
        <w:numPr>
          <w:ilvl w:val="1"/>
          <w:numId w:val="3"/>
        </w:numPr>
      </w:pPr>
      <w:r>
        <w:t xml:space="preserve">Sub-item with letter</w:t>
      </w:r>
    </w:p>
    <w:p>
      <w:pPr>
        <w:pStyle w:val="ListParagraph"/>
        <w:numPr>
          <w:ilvl w:val="1"/>
          <w:numId w:val="3"/>
        </w:numPr>
      </w:pPr>
      <w:r>
        <w:t xml:space="preserve">Another sub-item</w:t>
      </w:r>
    </w:p>
    <w:p>
      <w:pPr>
        <w:pStyle w:val="ListParagraph"/>
        <w:numPr>
          <w:ilvl w:val="2"/>
          <w:numId w:val="3"/>
        </w:numPr>
      </w:pPr>
      <w:r>
        <w:t xml:space="preserve">Roman numeral sub-sub-item</w:t>
      </w:r>
    </w:p>
    <w:p>
      <w:pPr>
        <w:pStyle w:val="ListParagraph"/>
        <w:numPr>
          <w:ilvl w:val="0"/>
          <w:numId w:val="3"/>
        </w:numPr>
      </w:pPr>
      <w:r>
        <w:t xml:space="preserve">Third numbered item</w:t>
      </w:r>
    </w:p>
    <w:p>
      <w:pPr>
        <w:pStyle w:val="Heading2"/>
      </w:pPr>
      <w:r>
        <w:t xml:space="preserve">3.3 Roman Numeral List</w:t>
      </w:r>
    </w:p>
    <w:p>
      <w:pPr>
        <w:pStyle w:val="ListParagraph"/>
        <w:numPr>
          <w:ilvl w:val="0"/>
          <w:numId w:val="4"/>
        </w:numPr>
      </w:pPr>
      <w:r>
        <w:t xml:space="preserve">First section</w:t>
      </w:r>
    </w:p>
    <w:p>
      <w:pPr>
        <w:pStyle w:val="ListParagraph"/>
        <w:numPr>
          <w:ilvl w:val="0"/>
          <w:numId w:val="4"/>
        </w:numPr>
      </w:pPr>
      <w:r>
        <w:t xml:space="preserve">Second section</w:t>
      </w:r>
    </w:p>
    <w:p>
      <w:pPr>
        <w:pStyle w:val="ListParagraph"/>
        <w:numPr>
          <w:ilvl w:val="0"/>
          <w:numId w:val="4"/>
        </w:numPr>
      </w:pPr>
      <w:r>
        <w:t xml:space="preserve">Third section</w:t>
      </w:r>
    </w:p>
    <w:p>
      <w:pPr>
        <w:pStyle w:val="Heading1"/>
      </w:pPr>
      <w:r>
        <w:t xml:space="preserve">4. Tables</w:t>
      </w:r>
    </w:p>
    <w:p>
      <w:pPr>
        <w:pStyle w:val="Heading2"/>
      </w:pPr>
      <w:r>
        <w:t xml:space="preserve">4.1 Basic Table with Header Row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Department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Years</w:t>
            </w:r>
          </w:p>
        </w:tc>
      </w:tr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r>
              <w:t xml:space="preserve">Alice Johnson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r>
              <w:t xml:space="preserve">Engineering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r>
              <w:t xml:space="preserve">Senior Dev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pPr>
              <w:jc w:val="center"/>
            </w:pPr>
            <w: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4FD" w:val="clear"/>
          </w:tcPr>
          <w:p>
            <w:r>
              <w:t xml:space="preserve">Bob Smith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4FD" w:val="clear"/>
          </w:tcPr>
          <w:p>
            <w:r>
              <w:t xml:space="preserve">Marketing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4FD" w:val="clear"/>
          </w:tcPr>
          <w:p>
            <w:r>
              <w:t xml:space="preserve">Manager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E8F4FD" w:val="clear"/>
          </w:tcPr>
          <w:p>
            <w:pPr>
              <w:jc w:val="center"/>
            </w:pPr>
            <w: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r>
              <w:t xml:space="preserve">Carol Davis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r>
              <w:t xml:space="preserve">Finance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r>
              <w:t xml:space="preserve">Analyst</w:t>
            </w:r>
          </w:p>
        </w:tc>
        <w:tc>
          <w:tcPr>
            <w:tcW w:type="dxa" w:w="23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pPr>
              <w:jc w:val="center"/>
            </w:pPr>
            <w:r>
              <w:t xml:space="preserve">3</w:t>
            </w:r>
          </w:p>
        </w:tc>
      </w:tr>
    </w:tbl>
    <w:p>
      <w:pPr>
        <w:pStyle w:val="Heading2"/>
        <w:spacing w:before="360"/>
      </w:pPr>
      <w:r>
        <w:t xml:space="preserve">4.2 Table with Merged Cells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double" w:color="2E74B5" w:sz="2"/>
              <w:left w:val="double" w:color="2E74B5" w:sz="2"/>
              <w:bottom w:val="double" w:color="2E74B5" w:sz="2"/>
              <w:right w:val="double" w:color="2E74B5" w:sz="2"/>
            </w:tcBorders>
            <w:shd w:fill="38562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Quarterly Report Summary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5E0B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Q1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5E0B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Q2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5E0B3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Q3</w:t>
            </w:r>
          </w:p>
        </w:tc>
      </w:tr>
      <w:tr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pPr>
              <w:jc w:val="right"/>
            </w:pPr>
            <w:r>
              <w:t xml:space="preserve">$125,000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pPr>
              <w:jc w:val="right"/>
            </w:pPr>
            <w:r>
              <w:t xml:space="preserve">$148,500</w:t>
            </w:r>
          </w:p>
        </w:tc>
        <w:tc>
          <w:tcPr>
            <w:tcW w:type="dxa" w:w="31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pPr>
              <w:jc w:val="right"/>
            </w:pPr>
            <w:r>
              <w:t xml:space="preserve">$162,300</w:t>
            </w:r>
          </w:p>
        </w:tc>
      </w:tr>
    </w:tbl>
    <w:p>
      <w:pPr>
        <w:pStyle w:val="Heading2"/>
        <w:spacing w:before="360"/>
      </w:pPr>
      <w:r>
        <w:t xml:space="preserve">4.3 Table with Bullets Inside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33C0C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833C0C" w:val="clear"/>
          </w:tcPr>
          <w:p>
            <w:r>
              <w:rPr>
                <w:b/>
                <w:bCs/>
                <w:color w:val="FFFFFF"/>
              </w:rPr>
              <w:t xml:space="preserve">Benefits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vAlign w:val="center"/>
          </w:tcPr>
          <w:p>
            <w:r>
              <w:rPr>
                <w:b/>
                <w:bCs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50% faster processing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Reduced memory usage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Optimized caching</w:t>
            </w:r>
          </w:p>
        </w:tc>
      </w:tr>
      <w:tr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vAlign w:val="center"/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4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End-to-end encryption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Multi-factor auth</w:t>
            </w:r>
          </w:p>
        </w:tc>
      </w:tr>
    </w:tbl>
    <w:p>
      <w:pPr>
        <w:pStyle w:val="Heading1"/>
      </w:pPr>
      <w:r>
        <w:t xml:space="preserve">5. Links and Navigation</w:t>
      </w:r>
    </w:p>
    <w:p>
      <w:pPr>
        <w:pStyle w:val="Heading2"/>
      </w:pPr>
      <w:r>
        <w:t xml:space="preserve">5.1 External Hyperlinks</w:t>
      </w:r>
    </w:p>
    <w:p>
      <w:r>
        <w:t xml:space="preserve">Visit </w:t>
      </w:r>
      <w:hyperlink w:history="1" r:id="rId506nlbyqbfebx6lrvc1el">
        <w:r>
          <w:rPr>
            <w:rStyle w:val="Hyperlink"/>
            <w:color w:val="0563C1"/>
            <w:u w:val="single"/>
          </w:rPr>
          <w:t xml:space="preserve">Microsoft</w:t>
        </w:r>
      </w:hyperlink>
      <w:r>
        <w:t xml:space="preserve"> or </w:t>
      </w:r>
      <w:hyperlink w:history="1" r:id="rIdbaxdg88hxnyej1kockny2">
        <w:r>
          <w:rPr>
            <w:rStyle w:val="Hyperlink"/>
            <w:color w:val="0563C1"/>
            <w:u w:val="single"/>
          </w:rPr>
          <w:t xml:space="preserve">Google</w:t>
        </w:r>
      </w:hyperlink>
      <w:r>
        <w:t xml:space="preserve"> for more information.</w:t>
      </w:r>
    </w:p>
    <w:p>
      <w:pPr>
        <w:pStyle w:val="Heading2"/>
      </w:pPr>
      <w:r>
        <w:t xml:space="preserve">5.2 Internal Bookmarks</w:t>
      </w:r>
    </w:p>
    <w:p>
      <w:r>
        <w:t xml:space="preserve">Jump to </w:t>
      </w:r>
      <w:hyperlink w:history="1" w:anchor="conclusion">
        <w:r>
          <w:rPr>
            <w:color w:val="0563C1"/>
            <w:u w:val="single"/>
          </w:rPr>
          <w:t xml:space="preserve">the conclusion</w:t>
        </w:r>
      </w:hyperlink>
      <w:r>
        <w:t xml:space="preserve"> at the end of this document.</w:t>
      </w:r>
    </w:p>
    <w:p>
      <w:pPr>
        <w:pStyle w:val="Heading1"/>
      </w:pPr>
      <w:r>
        <w:t xml:space="preserve">6. Symbols and Special Characters</w:t>
      </w:r>
    </w:p>
    <w:p>
      <w:r>
        <w:t xml:space="preserve">Common symbols: </w:t>
      </w:r>
      <w:r>
        <w:rPr>
          <w:rFonts w:ascii="Arial" w:cs="Arial" w:eastAsia="Arial" w:hAnsi="Arial"/>
        </w:rPr>
        <w:t xml:space="preserve">©</w:t>
      </w:r>
      <w:r>
        <w:t xml:space="preserve"> Copyright, </w:t>
      </w:r>
      <w:r>
        <w:rPr>
          <w:rFonts w:ascii="Arial" w:cs="Arial" w:eastAsia="Arial" w:hAnsi="Arial"/>
        </w:rPr>
        <w:t xml:space="preserve">®</w:t>
      </w:r>
      <w:r>
        <w:t xml:space="preserve"> Registered, </w:t>
      </w:r>
      <w:r>
        <w:rPr>
          <w:rFonts w:ascii="Arial" w:cs="Arial" w:eastAsia="Arial" w:hAnsi="Arial"/>
        </w:rPr>
        <w:t xml:space="preserve">™</w:t>
      </w:r>
      <w:r>
        <w:t xml:space="preserve"> Trademark, </w:t>
      </w:r>
      <w:r>
        <w:rPr>
          <w:rFonts w:ascii="Arial" w:cs="Arial" w:eastAsia="Arial" w:hAnsi="Arial"/>
        </w:rPr>
        <w:t xml:space="preserve">°</w:t>
      </w:r>
      <w:r>
        <w:t xml:space="preserve"> Degree</w:t>
      </w:r>
    </w:p>
    <w:p>
      <w:pPr>
        <w:spacing w:before="120"/>
      </w:pPr>
      <w:r>
        <w:t xml:space="preserve">Mathematical: × (multiply), ÷ (divide), ± (plus/minus), ≤ (less/equal), ≥ (greater/equal), ≠ (not equal), √ (root)</w:t>
      </w:r>
    </w:p>
    <w:p>
      <w:pPr>
        <w:spacing w:before="120"/>
      </w:pPr>
      <w:r>
        <w:t xml:space="preserve">Arrows: → (right), ← (left), ↑ (up), ↓ (down), ↔ (both), ⇒ (implies)</w:t>
      </w:r>
    </w:p>
    <w:p>
      <w:pPr>
        <w:spacing w:before="120"/>
      </w:pPr>
      <w:r>
        <w:t xml:space="preserve">Currency: $ (Dollar), € (Euro), £ (Pound), ¥ (Yen), ₹ (Rupee)</w:t>
      </w:r>
    </w:p>
    <w:p>
      <w:pPr>
        <w:pStyle w:val="Heading1"/>
      </w:pPr>
      <w:r>
        <w:t xml:space="preserve">7. Borders and Shading</w:t>
      </w:r>
    </w:p>
    <w:p>
      <w:pPr>
        <w:pStyle w:val="Heading2"/>
      </w:pPr>
      <w:r>
        <w:t xml:space="preserve">7.1 Paragraph Borders</w:t>
      </w:r>
    </w:p>
    <w:p>
      <w:pPr>
        <w:pBdr>
          <w:top w:val="single" w:color="2E74B5" w:sz="1"/>
          <w:bottom w:val="single" w:color="2E74B5" w:sz="1"/>
          <w:left w:val="thick" w:color="2E74B5" w:sz="6"/>
          <w:right w:val="single" w:color="2E74B5" w:sz="1"/>
        </w:pBdr>
        <w:shd w:fill="E8F4FD" w:val="clear"/>
        <w:spacing w:before="120" w:after="120"/>
        <w:ind w:left="200" w:right="200"/>
      </w:pPr>
      <w:r>
        <w:t xml:space="preserve">This paragraph has a custom border with a thick left edge (callout style) and light blue background shading.</w:t>
      </w:r>
    </w:p>
    <w:p>
      <w:pPr>
        <w:pBdr>
          <w:top w:val="double" w:color="385623" w:sz="2"/>
          <w:bottom w:val="double" w:color="385623" w:sz="2"/>
          <w:left w:val="double" w:color="385623" w:sz="2"/>
          <w:right w:val="double" w:color="385623" w:sz="2"/>
        </w:pBdr>
        <w:shd w:fill="E2EFD9" w:val="clear"/>
        <w:spacing w:before="240" w:after="120"/>
        <w:ind w:left="200" w:right="200"/>
        <w:jc w:val="center"/>
      </w:pPr>
      <w:r>
        <w:rPr>
          <w:b/>
          <w:bCs/>
          <w:color w:val="385623"/>
        </w:rPr>
        <w:t xml:space="preserve">Important Notice</w:t>
      </w:r>
    </w:p>
    <w:p>
      <w:pPr>
        <w:pBdr>
          <w:top w:val="dashed" w:color="833C0C" w:sz="1"/>
          <w:bottom w:val="dashed" w:color="833C0C" w:sz="1"/>
        </w:pBdr>
        <w:shd w:fill="FBE4D5" w:val="clear"/>
        <w:spacing w:before="240" w:after="120"/>
        <w:ind w:left="200" w:right="200"/>
      </w:pPr>
      <w:r>
        <w:t xml:space="preserve">A dashed border on top and bottom only, with a warm background color.</w:t>
      </w:r>
    </w:p>
    <w:p>
      <w:r>
        <w:br w:type="page"/>
      </w:r>
    </w:p>
    <w:p>
      <w:pPr>
        <w:pStyle w:val="Heading1"/>
      </w:pPr>
      <w:r>
        <w:t xml:space="preserve">8. Conclusion</w:t>
      </w:r>
    </w:p>
    <w:p>
      <w:r>
        <w:t xml:space="preserve">This document has demonstrated a comprehensive range of Word document formatting features including:</w:t>
      </w:r>
    </w:p>
    <w:p>
      <w:pPr>
        <w:pStyle w:val="ListParagraph"/>
        <w:numPr>
          <w:ilvl w:val="0"/>
          <w:numId w:val="2"/>
        </w:numPr>
      </w:pPr>
      <w:r>
        <w:t xml:space="preserve">Multiple heading levels (H1, H2, H3) with custom styling</w:t>
      </w:r>
    </w:p>
    <w:p>
      <w:pPr>
        <w:pStyle w:val="ListParagraph"/>
        <w:numPr>
          <w:ilvl w:val="0"/>
          <w:numId w:val="2"/>
        </w:numPr>
      </w:pPr>
      <w:r>
        <w:t xml:space="preserve">Text formatting: bold, italic, underline, strikethrough, colors, highlighting</w:t>
      </w:r>
    </w:p>
    <w:p>
      <w:pPr>
        <w:pStyle w:val="ListParagraph"/>
        <w:numPr>
          <w:ilvl w:val="0"/>
          <w:numId w:val="2"/>
        </w:numPr>
      </w:pPr>
      <w:r>
        <w:t xml:space="preserve">Superscript and subscript text</w:t>
      </w:r>
    </w:p>
    <w:p>
      <w:pPr>
        <w:pStyle w:val="ListParagraph"/>
        <w:numPr>
          <w:ilvl w:val="0"/>
          <w:numId w:val="2"/>
        </w:numPr>
      </w:pPr>
      <w:r>
        <w:t xml:space="preserve">Various font families and sizes</w:t>
      </w:r>
    </w:p>
    <w:p>
      <w:pPr>
        <w:pStyle w:val="ListParagraph"/>
        <w:numPr>
          <w:ilvl w:val="0"/>
          <w:numId w:val="2"/>
        </w:numPr>
      </w:pPr>
      <w:r>
        <w:t xml:space="preserve">Paragraph alignment: left, center, right, justified</w:t>
      </w:r>
    </w:p>
    <w:p>
      <w:pPr>
        <w:pStyle w:val="ListParagraph"/>
        <w:numPr>
          <w:ilvl w:val="0"/>
          <w:numId w:val="2"/>
        </w:numPr>
      </w:pPr>
      <w:r>
        <w:t xml:space="preserve">Indentation styles: left, right, first-line, hanging</w:t>
      </w:r>
    </w:p>
    <w:p>
      <w:pPr>
        <w:pStyle w:val="ListParagraph"/>
        <w:numPr>
          <w:ilvl w:val="0"/>
          <w:numId w:val="2"/>
        </w:numPr>
      </w:pPr>
      <w:r>
        <w:t xml:space="preserve">Custom paragraph styles (Quote, Code)</w:t>
      </w:r>
    </w:p>
    <w:p>
      <w:pPr>
        <w:pStyle w:val="ListParagraph"/>
        <w:numPr>
          <w:ilvl w:val="0"/>
          <w:numId w:val="2"/>
        </w:numPr>
      </w:pPr>
      <w:r>
        <w:t xml:space="preserve">Tab stops: left, center, right, decimal</w:t>
      </w:r>
    </w:p>
    <w:p>
      <w:pPr>
        <w:pStyle w:val="ListParagraph"/>
        <w:numPr>
          <w:ilvl w:val="0"/>
          <w:numId w:val="2"/>
        </w:numPr>
      </w:pPr>
      <w:r>
        <w:t xml:space="preserve">Bullet lists with multiple nesting levels</w:t>
      </w:r>
    </w:p>
    <w:p>
      <w:pPr>
        <w:pStyle w:val="ListParagraph"/>
        <w:numPr>
          <w:ilvl w:val="0"/>
          <w:numId w:val="2"/>
        </w:numPr>
      </w:pPr>
      <w:r>
        <w:t xml:space="preserve">Numbered lists with various formats (decimal, letter, roman)</w:t>
      </w:r>
    </w:p>
    <w:p>
      <w:pPr>
        <w:pStyle w:val="ListParagraph"/>
        <w:numPr>
          <w:ilvl w:val="0"/>
          <w:numId w:val="2"/>
        </w:numPr>
      </w:pPr>
      <w:r>
        <w:t xml:space="preserve">Tables with headers, shading, merged cells, and embedded lists</w:t>
      </w:r>
    </w:p>
    <w:p>
      <w:pPr>
        <w:pStyle w:val="ListParagraph"/>
        <w:numPr>
          <w:ilvl w:val="0"/>
          <w:numId w:val="2"/>
        </w:numPr>
      </w:pPr>
      <w:r>
        <w:t xml:space="preserve">External and internal hyperlinks</w:t>
      </w:r>
    </w:p>
    <w:p>
      <w:pPr>
        <w:pStyle w:val="ListParagraph"/>
        <w:numPr>
          <w:ilvl w:val="0"/>
          <w:numId w:val="2"/>
        </w:numPr>
      </w:pPr>
      <w:r>
        <w:t xml:space="preserve">Special symbols and characters</w:t>
      </w:r>
    </w:p>
    <w:p>
      <w:pPr>
        <w:pStyle w:val="ListParagraph"/>
        <w:numPr>
          <w:ilvl w:val="0"/>
          <w:numId w:val="2"/>
        </w:numPr>
      </w:pPr>
      <w:r>
        <w:t xml:space="preserve">Paragraph borders and background shading</w:t>
      </w:r>
    </w:p>
    <w:p>
      <w:pPr>
        <w:pStyle w:val="ListParagraph"/>
        <w:numPr>
          <w:ilvl w:val="0"/>
          <w:numId w:val="2"/>
        </w:numPr>
      </w:pPr>
      <w:r>
        <w:t xml:space="preserve">Headers and footers with page numbers</w:t>
      </w:r>
    </w:p>
    <w:p>
      <w:pPr>
        <w:pStyle w:val="ListParagraph"/>
        <w:numPr>
          <w:ilvl w:val="0"/>
          <w:numId w:val="2"/>
        </w:numPr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Page breaks</w:t>
      </w:r>
    </w:p>
    <w:p>
      <w:pPr>
        <w:spacing w:before="240"/>
      </w:pPr>
      <w:r>
        <w:t xml:space="preserve">This sample document can be used for testing Word document parsing, rendering, and manipulation libraries.</w:t>
      </w:r>
    </w:p>
    <w:p>
      <w:pPr>
        <w:spacing w:before="480"/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Sample Document — Formatting 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Georgia" w:cs="Georgia" w:eastAsia="Georgia" w:hAnsi="Georgia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Georgia" w:cs="Georgia" w:eastAsia="Georgia" w:hAnsi="Georgia"/>
      <w:b/>
      <w:bCs/>
      <w:color w:val="38562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i/>
      <w:iCs/>
      <w:color w:val="833C0C"/>
      <w:sz w:val="24"/>
      <w:szCs w:val="24"/>
    </w:rPr>
  </w:style>
  <w:style w:type="paragraph" w:styleId="Quote">
    <w:name w:val="Quote"/>
    <w:basedOn w:val="Normal"/>
    <w:pPr>
      <w:spacing w:before="120" w:after="120"/>
      <w:ind w:left="720" w:right="720"/>
    </w:pPr>
    <w:rPr>
      <w:i/>
      <w:iCs/>
      <w:color w:val="5A5A5A"/>
      <w:sz w:val="22"/>
      <w:szCs w:val="22"/>
    </w:rPr>
  </w:style>
  <w:style w:type="paragraph" w:styleId="Code">
    <w:name w:val="Code"/>
    <w:basedOn w:val="Normal"/>
    <w:pPr>
      <w:shd w:fill="F0F0F0" w:val="clear"/>
      <w:spacing w:before="60" w:after="60"/>
    </w:pPr>
    <w:rPr>
      <w:rFonts w:ascii="Consolas" w:cs="Consolas" w:eastAsia="Consolas" w:hAnsi="Consolas"/>
      <w:color w:val="2E2E2E"/>
      <w:sz w:val="20"/>
      <w:szCs w:val="20"/>
    </w:rPr>
  </w:style>
  <w:style w:type="character" w:styleId="Emphasis">
    <w:name w:val="Emphasis"/>
    <w:uiPriority w:val="99"/>
    <w:unhideWhenUsed/>
    <w:rPr>
      <w:i/>
      <w:iCs/>
      <w:color w:val="C45911"/>
    </w:rPr>
  </w:style>
  <w:style w:type="character" w:styleId="Strong">
    <w:name w:val="Strong"/>
    <w:uiPriority w:val="99"/>
    <w:unhideWhenUsed/>
    <w:rPr>
      <w:b/>
      <w:bCs/>
      <w:color w:val="1F4E7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506nlbyqbfebx6lrvc1el" Type="http://schemas.openxmlformats.org/officeDocument/2006/relationships/hyperlink" Target="https://www.microsoft.com" TargetMode="External"/><Relationship Id="rIdbaxdg88hxnyej1kockny2" Type="http://schemas.openxmlformats.org/officeDocument/2006/relationships/hyperlink" Target="https://www.google.com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2026-01-04T09:46:52.215Z</dcterms:created>
  <dcterms:modified xsi:type="dcterms:W3CDTF">2026-01-04T09:46:52.216Z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