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817e49d3a6e47da" /></Relationships>
</file>

<file path=word/document.xml><?xml version="1.0" encoding="utf-8"?>
<w:document xmlns:w="http://schemas.openxmlformats.org/wordprocessingml/2006/main">
  <w:body>
    <w:p>
      <w:r>
        <w:t>This document has automatic hyphenation enabled. Long words like internationalization, telecommunication, and conceptualization may be hyphenated at the end of lines.</w:t>
      </w:r>
    </w:p>
    <w:p>
      <w:r>
        <w:t>The hyphenation zone is set to 0.25 inches, limiting hyphens to 2 consecutive lines, and CAPITALIZED words are not hyphenated.</w:t>
      </w:r>
    </w:p>
    <w:p>
      <w:r>
        <w:t>Antidisestablishmentarianism is a very long word that demonstrates hyphenation. Electroencephalograph is another example.</w:t>
      </w:r>
    </w:p>
    <w:sectPr>
      <w:pgSz w:w="86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autoHyphenation w:val="true"/>
  <w:hyphenationZone w:val="360"/>
  <w:consecutiveHyphenLimit w:val="2"/>
  <w:doNotHyphenateCaps w:val="true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7b79548d3e44de8" /></Relationships>
</file>