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 To be or not to be, that is the question. </w:t>
      </w:r>
      <w:r>
        <w:rPr>
          <w:vertAlign w:val="superscript"/>
        </w:rPr>
        <w:footnoteReference w:id="1"/>
      </w:r>
    </w:p>
    <w:p>
      <w:r>
        <w:t xml:space="preserve">Normal paragraph after quote.</w:t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https://example.com/source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