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Revenue grew 15% year-over-year.</w:t>
      </w:r>
    </w:p>
    <w:sectPr>
      <w:footerReference xmlns:r="http://schemas.openxmlformats.org/officeDocument/2006/relationships" w:type="default" r:id="DeterministicId1"/>
    </w:sectPr>
  </w:body>
</w:document>
</file>

<file path=word/footer1.xml><?xml version="1.0" encoding="utf-8"?>
<w:ftr xmlns:w="http://schemas.openxmlformats.org/wordprocessingml/2006/main">
  <w:p>
    <w:r>
      <w:t>— Confidential —</w:t>
    </w:r>
  </w:p>
</w:ftr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next w:val="Normal"/>
    <w:rPr>
      <w:b/>
      <w:sz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DeterministicId1" /><Relationship Type="http://schemas.openxmlformats.org/officeDocument/2006/relationships/styles" Target="styles.xml" Id="DeterministicId2" /></Relationships>
</file>