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Items:</w:t>
      </w:r>
    </w:p>
    <w:p>
      <w:r>
        <w:t xml:space="preserve">- Consulting services — API design: 12 x 185</w:t>
      </w:r>
    </w:p>
    <w:p>
      <w:r>
        <w:t xml:space="preserve">- Consulting services — implementation: 40 x 165</w:t>
      </w:r>
    </w:p>
    <w:p>
      <w:r>
        <w:t xml:space="preserve">- Project management: 8 x 145</w:t>
      </w:r>
    </w:p>
    <w:p>
      <w:r>
        <w:t xml:space="preserve">End.</w:t>
      </w:r>
    </w:p>
    <w:sectPr>
      <w:pgSz w:w="6000" w:h="5000"/>
      <w:pgMar w:top="500" w:right="500" w:bottom="500" w:left="50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