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</w:p>
    <w:p>
      <w:r>
        <w:t xml:space="preserve">*</w:t>
      </w:r>
      <w:r>
        <w:t xml:space="preserve">Prepared by **** on *</w:t>
      </w:r>
    </w:p>
    <w:p>
      <w:pPr>
        <w:pStyle w:val="Heading2"/>
      </w:pPr>
      <w:r>
        <w:t xml:space="preserve">Summary</w:t>
      </w:r>
    </w:p>
    <w:p>
      <w:pPr>
        <w:pStyle w:val="Heading2"/>
      </w:pPr>
      <w:r>
        <w:t xml:space="preserve">Findings</w:t>
      </w:r>
    </w:p>
    <w:tbl>
      <w:tblPr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Area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Status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Owner</w:t>
            </w:r>
          </w:p>
        </w:tc>
      </w:tr>
    </w:tbl>
    <w:p>
      <w:pPr>
        <w:pStyle w:val="Heading2"/>
      </w:pPr>
      <w:r>
        <w:t xml:space="preserve">Action items</w:t>
      </w:r>
    </w:p>
    <w:p>
      <w:pPr>
        <w:pStyle w:val="Quote"/>
      </w:pPr>
      <w:r>
        <w:t xml:space="preserve">⚠ Outstanding risks remain. See appendix for mitigation plan.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