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9D" w:rsidRPr="0078674B" w:rsidRDefault="00D7309D" w:rsidP="00D7309D">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6.10.1</w:t>
      </w:r>
      <w:r w:rsidRPr="0078674B">
        <w:rPr>
          <w:rFonts w:ascii="Minion Pro" w:hAnsi="Minion Pro"/>
          <w:sz w:val="24"/>
        </w:rPr>
        <w:t> </w:t>
      </w:r>
      <w:r w:rsidRPr="00397563">
        <w:rPr>
          <w:rStyle w:val="cFigTitle"/>
          <w:sz w:val="24"/>
        </w:rPr>
        <w:t xml:space="preserve">The </w:t>
      </w:r>
      <w:proofErr w:type="spellStart"/>
      <w:r w:rsidRPr="00397563">
        <w:rPr>
          <w:rStyle w:val="cFigTitle"/>
          <w:sz w:val="24"/>
        </w:rPr>
        <w:t>NetFPGA</w:t>
      </w:r>
      <w:proofErr w:type="spellEnd"/>
      <w:r w:rsidRPr="00397563">
        <w:rPr>
          <w:rStyle w:val="cFigTitle"/>
          <w:sz w:val="24"/>
        </w:rPr>
        <w:t xml:space="preserve"> 10-Gigabit Ethernet card</w:t>
      </w:r>
      <w:r w:rsidRPr="0078674B">
        <w:rPr>
          <w:rFonts w:ascii="Minion Pro" w:hAnsi="Minion Pro"/>
          <w:sz w:val="24"/>
        </w:rPr>
        <w:t xml:space="preserve"> (see http://netfpga.org/), which connects up to four </w:t>
      </w:r>
      <w:proofErr w:type="gramStart"/>
      <w:r w:rsidRPr="0078674B">
        <w:rPr>
          <w:rFonts w:ascii="Minion Pro" w:hAnsi="Minion Pro"/>
          <w:sz w:val="24"/>
        </w:rPr>
        <w:t>10-Gigabit/sec</w:t>
      </w:r>
      <w:proofErr w:type="gramEnd"/>
      <w:r w:rsidRPr="0078674B">
        <w:rPr>
          <w:rFonts w:ascii="Minion Pro" w:hAnsi="Minion Pro"/>
          <w:sz w:val="24"/>
        </w:rPr>
        <w:t xml:space="preserve"> Ethernet links. It is an FPGA-based open platform for network research and classroom experimentation. The DMA engine and the four “MAC chips” in Figure e6.10.2 are just portions of the Xilinx </w:t>
      </w:r>
      <w:proofErr w:type="spellStart"/>
      <w:r w:rsidRPr="0078674B">
        <w:rPr>
          <w:rFonts w:ascii="Minion Pro" w:hAnsi="Minion Pro"/>
          <w:sz w:val="24"/>
        </w:rPr>
        <w:t>Virtex</w:t>
      </w:r>
      <w:proofErr w:type="spellEnd"/>
      <w:r w:rsidRPr="0078674B">
        <w:rPr>
          <w:rFonts w:ascii="Minion Pro" w:hAnsi="Minion Pro"/>
          <w:sz w:val="24"/>
        </w:rPr>
        <w:t xml:space="preserve"> FPGA in the middle of the board. The four PHY chips in Figure e6.10.2 are the four black squares just to the right of the four white rectangles on the left edge of the board, which is where the Ethernet cables are plugged in.</w:t>
      </w:r>
    </w:p>
    <w:p w:rsidR="00D7309D" w:rsidRPr="0078674B" w:rsidRDefault="00D7309D" w:rsidP="00D7309D">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6.10.2</w:t>
      </w:r>
      <w:r w:rsidRPr="0078674B">
        <w:rPr>
          <w:rFonts w:ascii="Minion Pro" w:hAnsi="Minion Pro"/>
          <w:sz w:val="24"/>
        </w:rPr>
        <w:t> </w:t>
      </w:r>
      <w:r w:rsidRPr="00397563">
        <w:rPr>
          <w:rStyle w:val="cFigTitle"/>
          <w:sz w:val="24"/>
        </w:rPr>
        <w:t xml:space="preserve">Block diagram of the </w:t>
      </w:r>
      <w:proofErr w:type="spellStart"/>
      <w:r w:rsidRPr="00397563">
        <w:rPr>
          <w:rStyle w:val="cFigTitle"/>
          <w:sz w:val="24"/>
        </w:rPr>
        <w:t>NetFPGA</w:t>
      </w:r>
      <w:proofErr w:type="spellEnd"/>
      <w:r w:rsidRPr="00397563">
        <w:rPr>
          <w:rStyle w:val="cFigTitle"/>
          <w:sz w:val="24"/>
        </w:rPr>
        <w:t xml:space="preserve"> Ethernet card in Figure </w:t>
      </w:r>
      <w:r w:rsidRPr="00397563">
        <w:rPr>
          <w:rStyle w:val="cFigNum"/>
          <w:sz w:val="24"/>
        </w:rPr>
        <w:t>e</w:t>
      </w:r>
      <w:r w:rsidRPr="00397563">
        <w:rPr>
          <w:rStyle w:val="cFigTitle"/>
          <w:sz w:val="24"/>
        </w:rPr>
        <w:t>6.10.1 showing the control paths and the data paths.</w:t>
      </w:r>
      <w:r w:rsidRPr="0078674B">
        <w:rPr>
          <w:rFonts w:ascii="Minion Pro" w:hAnsi="Minion Pro"/>
          <w:sz w:val="24"/>
        </w:rPr>
        <w:t xml:space="preserve"> The control path allows the DMA engine to read the status of the queues, such as empty vs. on-empty, and the content of the next available queue entry. The DMA engine also controls port multiplexing. The data path simply passes through the DMA block to the TX/RX queues or to main memory. The “MAC chips” are described below. The PHY chips, which refer to the physical layer, connect the “MAC chips” to physical networking medium, such as copper wire or optical fiber.</w:t>
      </w:r>
    </w:p>
    <w:p w:rsidR="00D7309D" w:rsidRPr="00397563" w:rsidRDefault="00D7309D" w:rsidP="00D7309D">
      <w:pPr>
        <w:pStyle w:val="pTOC1"/>
        <w:spacing w:after="240" w:line="240" w:lineRule="auto"/>
        <w:ind w:left="0" w:firstLine="0"/>
        <w:rPr>
          <w:rStyle w:val="cFigTitle"/>
          <w:sz w:val="24"/>
        </w:rPr>
      </w:pPr>
      <w:r w:rsidRPr="00397563">
        <w:rPr>
          <w:rStyle w:val="cFigNum"/>
          <w:sz w:val="24"/>
        </w:rPr>
        <w:t>Figure</w:t>
      </w:r>
      <w:r w:rsidRPr="00397563">
        <w:rPr>
          <w:sz w:val="24"/>
        </w:rPr>
        <w:t xml:space="preserve"> e6</w:t>
      </w:r>
      <w:r w:rsidRPr="00397563">
        <w:rPr>
          <w:rStyle w:val="cFigNum"/>
          <w:sz w:val="24"/>
        </w:rPr>
        <w:t>.10.3</w:t>
      </w:r>
      <w:r w:rsidRPr="0078674B">
        <w:rPr>
          <w:rFonts w:ascii="Minion Pro" w:hAnsi="Minion Pro"/>
          <w:sz w:val="24"/>
        </w:rPr>
        <w:t> </w:t>
      </w:r>
      <w:r w:rsidRPr="00397563">
        <w:rPr>
          <w:rStyle w:val="cFigTitle"/>
          <w:sz w:val="24"/>
        </w:rPr>
        <w:t>Relationship of the five steps of the driver when transmitting an Ethernet packet from one node and receiving that packet on another node.</w:t>
      </w:r>
    </w:p>
    <w:p w:rsidR="00D7309D" w:rsidRPr="0078674B" w:rsidRDefault="00D7309D" w:rsidP="00D7309D">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6.10.4</w:t>
      </w:r>
      <w:r w:rsidRPr="0078674B">
        <w:rPr>
          <w:rFonts w:ascii="Minion Pro" w:hAnsi="Minion Pro"/>
          <w:sz w:val="24"/>
        </w:rPr>
        <w:t> </w:t>
      </w:r>
      <w:r w:rsidRPr="00397563">
        <w:rPr>
          <w:rStyle w:val="cFigTitle"/>
          <w:sz w:val="24"/>
        </w:rPr>
        <w:t>Time to send an object broken into transmit driver and NIC hardware time vs. receive driver and NIC hardware time.</w:t>
      </w:r>
      <w:r w:rsidRPr="0078674B">
        <w:rPr>
          <w:rFonts w:ascii="Minion Pro" w:hAnsi="Minion Pro"/>
          <w:sz w:val="24"/>
        </w:rPr>
        <w:t xml:space="preserve"> NIC transmit time is much larger than the NIC receive time because transmit requires more </w:t>
      </w:r>
      <w:proofErr w:type="spellStart"/>
      <w:r w:rsidRPr="0078674B">
        <w:rPr>
          <w:rFonts w:ascii="Minion Pro" w:hAnsi="Minion Pro"/>
          <w:sz w:val="24"/>
        </w:rPr>
        <w:t>PCIe</w:t>
      </w:r>
      <w:proofErr w:type="spellEnd"/>
      <w:r w:rsidRPr="0078674B">
        <w:rPr>
          <w:rFonts w:ascii="Minion Pro" w:hAnsi="Minion Pro"/>
          <w:sz w:val="24"/>
        </w:rPr>
        <w:t xml:space="preserve"> round-trips. The NIC does </w:t>
      </w:r>
      <w:proofErr w:type="spellStart"/>
      <w:r w:rsidRPr="0078674B">
        <w:rPr>
          <w:rFonts w:ascii="Minion Pro" w:hAnsi="Minion Pro"/>
          <w:sz w:val="24"/>
        </w:rPr>
        <w:t>PCIe</w:t>
      </w:r>
      <w:proofErr w:type="spellEnd"/>
      <w:r w:rsidRPr="0078674B">
        <w:rPr>
          <w:rFonts w:ascii="Minion Pro" w:hAnsi="Minion Pro"/>
          <w:sz w:val="24"/>
        </w:rPr>
        <w:t xml:space="preserve"> reads to read the descriptor and data, but on receive the NIC does </w:t>
      </w:r>
      <w:proofErr w:type="spellStart"/>
      <w:r w:rsidRPr="0078674B">
        <w:rPr>
          <w:rFonts w:ascii="Minion Pro" w:hAnsi="Minion Pro"/>
          <w:sz w:val="24"/>
        </w:rPr>
        <w:t>PCIe</w:t>
      </w:r>
      <w:proofErr w:type="spellEnd"/>
      <w:r w:rsidRPr="0078674B">
        <w:rPr>
          <w:rFonts w:ascii="Minion Pro" w:hAnsi="Minion Pro"/>
          <w:sz w:val="24"/>
        </w:rPr>
        <w:t xml:space="preserve"> writes of data, length of data, and interrupt. </w:t>
      </w:r>
      <w:proofErr w:type="spellStart"/>
      <w:r w:rsidRPr="0078674B">
        <w:rPr>
          <w:rFonts w:ascii="Minion Pro" w:hAnsi="Minion Pro"/>
          <w:sz w:val="24"/>
        </w:rPr>
        <w:t>PCIe</w:t>
      </w:r>
      <w:proofErr w:type="spellEnd"/>
      <w:r w:rsidRPr="0078674B">
        <w:rPr>
          <w:rFonts w:ascii="Minion Pro" w:hAnsi="Minion Pro"/>
          <w:sz w:val="24"/>
        </w:rPr>
        <w:t xml:space="preserve"> reads incur </w:t>
      </w:r>
      <w:proofErr w:type="gramStart"/>
      <w:r w:rsidRPr="0078674B">
        <w:rPr>
          <w:rFonts w:ascii="Minion Pro" w:hAnsi="Minion Pro"/>
          <w:sz w:val="24"/>
        </w:rPr>
        <w:t>a round</w:t>
      </w:r>
      <w:proofErr w:type="gramEnd"/>
      <w:r w:rsidRPr="0078674B">
        <w:rPr>
          <w:rFonts w:ascii="Minion Pro" w:hAnsi="Minion Pro"/>
          <w:sz w:val="24"/>
        </w:rPr>
        <w:t xml:space="preserve"> trip latency because NIC waits for the reply, but </w:t>
      </w:r>
      <w:proofErr w:type="spellStart"/>
      <w:r w:rsidRPr="0078674B">
        <w:rPr>
          <w:rFonts w:ascii="Minion Pro" w:hAnsi="Minion Pro"/>
          <w:sz w:val="24"/>
        </w:rPr>
        <w:t>PCIe</w:t>
      </w:r>
      <w:proofErr w:type="spellEnd"/>
      <w:r w:rsidRPr="0078674B">
        <w:rPr>
          <w:rFonts w:ascii="Minion Pro" w:hAnsi="Minion Pro"/>
          <w:sz w:val="24"/>
        </w:rPr>
        <w:t xml:space="preserve"> writes require no response because </w:t>
      </w:r>
      <w:proofErr w:type="spellStart"/>
      <w:r w:rsidRPr="0078674B">
        <w:rPr>
          <w:rFonts w:ascii="Minion Pro" w:hAnsi="Minion Pro"/>
          <w:sz w:val="24"/>
        </w:rPr>
        <w:t>PCIe</w:t>
      </w:r>
      <w:proofErr w:type="spellEnd"/>
      <w:r w:rsidRPr="0078674B">
        <w:rPr>
          <w:rFonts w:ascii="Minion Pro" w:hAnsi="Minion Pro"/>
          <w:sz w:val="24"/>
        </w:rPr>
        <w:t xml:space="preserve"> is reliable, so </w:t>
      </w:r>
      <w:proofErr w:type="spellStart"/>
      <w:r w:rsidRPr="0078674B">
        <w:rPr>
          <w:rFonts w:ascii="Minion Pro" w:hAnsi="Minion Pro"/>
          <w:sz w:val="24"/>
        </w:rPr>
        <w:t>PCIe</w:t>
      </w:r>
      <w:proofErr w:type="spellEnd"/>
      <w:r w:rsidRPr="0078674B">
        <w:rPr>
          <w:rFonts w:ascii="Minion Pro" w:hAnsi="Minion Pro"/>
          <w:sz w:val="24"/>
        </w:rPr>
        <w:t xml:space="preserve"> writes can be sent back-to-back.</w:t>
      </w:r>
    </w:p>
    <w:p w:rsidR="00C54E13" w:rsidRPr="00D7309D" w:rsidRDefault="00D7309D">
      <w:pPr>
        <w:rPr>
          <w:lang w:val="en-US"/>
        </w:rPr>
      </w:pPr>
    </w:p>
    <w:sectPr w:rsidR="00C54E13" w:rsidRPr="00D7309D"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09D"/>
    <w:rsid w:val="000A5F2F"/>
    <w:rsid w:val="004772DA"/>
    <w:rsid w:val="007F4A43"/>
    <w:rsid w:val="00D7309D"/>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D7309D"/>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bidi="ar-SA"/>
    </w:rPr>
  </w:style>
  <w:style w:type="character" w:customStyle="1" w:styleId="cFigNum">
    <w:name w:val="cFigNum"/>
    <w:uiPriority w:val="99"/>
    <w:rsid w:val="00D7309D"/>
    <w:rPr>
      <w:rFonts w:ascii="ITC Franklin Gothic Std Med" w:hAnsi="ITC Franklin Gothic Std Med" w:cs="ITC Franklin Gothic Std Med"/>
      <w:caps/>
      <w:color w:val="000000"/>
      <w:sz w:val="16"/>
      <w:szCs w:val="16"/>
    </w:rPr>
  </w:style>
  <w:style w:type="character" w:customStyle="1" w:styleId="cFigTitle">
    <w:name w:val="cFigTitle"/>
    <w:uiPriority w:val="99"/>
    <w:rsid w:val="00D7309D"/>
    <w:rPr>
      <w:rFonts w:ascii="ITC Franklin Gothic Std Med" w:hAnsi="ITC Franklin Gothic Std Med" w:cs="ITC Franklin Gothic Std Med"/>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2020-11-11T19:31:00Z</dcterms:created>
  <dcterms:modified xsi:type="dcterms:W3CDTF">2020-11-11T19:31:00Z</dcterms:modified>
</cp:coreProperties>
</file>