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FB" w:rsidRDefault="004653FB" w:rsidP="004653FB">
      <w:pPr>
        <w:spacing w:after="240" w:line="240" w:lineRule="auto"/>
      </w:pPr>
      <w:r w:rsidRPr="00397563">
        <w:rPr>
          <w:rStyle w:val="cFigNum"/>
          <w:sz w:val="24"/>
        </w:rPr>
        <w:t>FIGURE</w:t>
      </w:r>
      <w:r w:rsidRPr="002731E2">
        <w:t xml:space="preserve"> </w:t>
      </w:r>
      <w:r w:rsidRPr="008200B8">
        <w:rPr>
          <w:rFonts w:ascii="ITC Franklin Gothic Std Med" w:hAnsi="ITC Franklin Gothic Std Med"/>
          <w:sz w:val="24"/>
          <w:szCs w:val="24"/>
        </w:rPr>
        <w:t>e6</w:t>
      </w:r>
      <w:r w:rsidRPr="008200B8">
        <w:rPr>
          <w:rStyle w:val="cFigNum"/>
          <w:sz w:val="24"/>
          <w:szCs w:val="24"/>
        </w:rPr>
        <w:t>.</w:t>
      </w:r>
      <w:r w:rsidRPr="00397563">
        <w:rPr>
          <w:rStyle w:val="cFigNum"/>
          <w:sz w:val="24"/>
        </w:rPr>
        <w:t>16.1</w:t>
      </w:r>
      <w:r>
        <w:t> </w:t>
      </w:r>
      <w:r w:rsidRPr="00397563">
        <w:rPr>
          <w:rStyle w:val="cFigTitle"/>
          <w:sz w:val="24"/>
        </w:rPr>
        <w:t xml:space="preserve">The </w:t>
      </w:r>
      <w:proofErr w:type="spellStart"/>
      <w:r w:rsidRPr="00397563">
        <w:rPr>
          <w:rStyle w:val="cFigTitle"/>
          <w:sz w:val="24"/>
        </w:rPr>
        <w:t>Illiac</w:t>
      </w:r>
      <w:proofErr w:type="spellEnd"/>
      <w:r w:rsidRPr="00397563">
        <w:rPr>
          <w:rStyle w:val="cFigTitle"/>
          <w:sz w:val="24"/>
        </w:rPr>
        <w:t xml:space="preserve"> IV control unit followed by its 64 processing elements.</w:t>
      </w:r>
      <w:r>
        <w:t xml:space="preserve"> It was perhaps the most infamous of supercomputers. The project started in 1965 and ran its first real application in 1976. The 64 processors used a 13-MHz clock, and their combined main memory size was 1 MB: 64 </w:t>
      </w:r>
      <w:r>
        <w:rPr>
          <w:rFonts w:ascii="MathematicalPi 1" w:hAnsi="MathematicalPi 1" w:cs="MathematicalPi 1"/>
        </w:rPr>
        <w:t>x</w:t>
      </w:r>
      <w:r>
        <w:t xml:space="preserve"> 16 KB. The </w:t>
      </w:r>
      <w:proofErr w:type="spellStart"/>
      <w:r>
        <w:t>Illiac</w:t>
      </w:r>
      <w:proofErr w:type="spellEnd"/>
      <w:r>
        <w:t xml:space="preserve"> IV was the first machine to teach us that software for parallel machines dominates hardware issues. </w:t>
      </w:r>
      <w:proofErr w:type="gramStart"/>
      <w:r>
        <w:t xml:space="preserve">Photo courtesy of NASA Ames Research </w:t>
      </w:r>
      <w:proofErr w:type="spellStart"/>
      <w:r>
        <w:t>Center</w:t>
      </w:r>
      <w:proofErr w:type="spellEnd"/>
      <w:r>
        <w:t>.</w:t>
      </w:r>
      <w:proofErr w:type="gramEnd"/>
    </w:p>
    <w:p w:rsidR="00C54E13" w:rsidRDefault="004653FB"/>
    <w:sectPr w:rsidR="00C54E13" w:rsidSect="007F4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 Franklin Gothic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athematicalPi 1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3FB"/>
    <w:rsid w:val="000A5F2F"/>
    <w:rsid w:val="004653FB"/>
    <w:rsid w:val="004772DA"/>
    <w:rsid w:val="007F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3F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igNum">
    <w:name w:val="cFigNum"/>
    <w:uiPriority w:val="99"/>
    <w:rsid w:val="004653FB"/>
    <w:rPr>
      <w:rFonts w:ascii="ITC Franklin Gothic Std Med" w:hAnsi="ITC Franklin Gothic Std Med" w:cs="ITC Franklin Gothic Std Med"/>
      <w:caps/>
      <w:color w:val="000000"/>
      <w:sz w:val="16"/>
      <w:szCs w:val="16"/>
    </w:rPr>
  </w:style>
  <w:style w:type="character" w:customStyle="1" w:styleId="cFigTitle">
    <w:name w:val="cFigTitle"/>
    <w:uiPriority w:val="99"/>
    <w:rsid w:val="004653FB"/>
    <w:rPr>
      <w:rFonts w:ascii="ITC Franklin Gothic Std Med" w:hAnsi="ITC Franklin Gothic Std Med" w:cs="ITC Franklin Gothic Std Med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lalithkumar.s</dc:creator>
  <cp:lastModifiedBy>lalithkumar.s</cp:lastModifiedBy>
  <cp:revision>1</cp:revision>
  <dcterms:created xsi:type="dcterms:W3CDTF">2020-11-11T19:31:00Z</dcterms:created>
  <dcterms:modified xsi:type="dcterms:W3CDTF">2020-11-11T19:32:00Z</dcterms:modified>
</cp:coreProperties>
</file>