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8F" w:rsidRPr="009B238F" w:rsidRDefault="009B238F" w:rsidP="009B238F">
      <w:pPr>
        <w:spacing w:before="360" w:after="120" w:line="240" w:lineRule="auto"/>
        <w:jc w:val="both"/>
        <w:outlineLvl w:val="1"/>
        <w:rPr>
          <w:rFonts w:ascii="Times New Roman" w:eastAsia="Times New Roman" w:hAnsi="Times New Roman" w:cs="Times New Roman"/>
          <w:b/>
          <w:bCs/>
          <w:sz w:val="36"/>
          <w:szCs w:val="36"/>
          <w:lang w:eastAsia="da-DK"/>
        </w:rPr>
      </w:pPr>
      <w:r w:rsidRPr="009B238F">
        <w:rPr>
          <w:rFonts w:ascii="Arial" w:eastAsia="Times New Roman" w:hAnsi="Arial" w:cs="Arial"/>
          <w:color w:val="000000"/>
          <w:sz w:val="32"/>
          <w:szCs w:val="32"/>
          <w:lang w:eastAsia="da-DK"/>
        </w:rPr>
        <w:t>Interessentanalyse: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Der er en række interessenter at tage hensyn til, når det kommer til hvordan skemaet skal lægges. Nogle skal lave skemaet, har krav til skemaet og dets indhold og andre skal følge det. For at lave et program der kan bruges, skal der tages højde for de forskellige interessenter der kommer til at skulle bruge programmet, og derfor skal det først undersøges hvordan de forskellige interessenter bliver påvirket af en softwareløsning, og hvad de gerne vil have ud af en softwareløsning.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Skolelederen arbejde ud for et budget som han får tildelt af kommunen og er derfor interesseret i at få optimere pengene maksimalt. Derfor ville en softwareløsning som kunne reducere timeantallet det tager at ligge skema have stor interesse hos skolelederen. Softwareløsningen ville gøre det muligt at bruge de sparet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nogen interesse i at investere i en softwareløsning som skaber flere problemer end det løser. Så skolelederen er interesseret i en softwareløsning som gør, at skemaet fungerer uden problemer, da det er skolelederen der står til ansvar hvis programmet laver fejl.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Lærerne bruger rigtig mange kræfter og tid på at lægge skema. En softwareløsning ville tage noget af arbejdsbyrden fra lærernes skuldre og sørge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hverdag, da de arbejde ud fra skoleskemaet og alle problemer som skoleskemaet skaber ville have direkte påvirkning på lærerne.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lastRenderedPageBreak/>
        <w:t>Forældrene er interesseret da det er deres børn der bliver påvirket. Det er ofte meget vigtigt for forældrene, at deres børn har det godt i skolen, 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38"/>
        <w:gridCol w:w="3340"/>
        <w:gridCol w:w="4814"/>
      </w:tblGrid>
      <w:tr w:rsidR="009B238F" w:rsidRPr="009B238F" w:rsidTr="009B238F">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indflydelse</w:t>
            </w:r>
          </w:p>
        </w:tc>
      </w:tr>
      <w:tr w:rsidR="009B238F" w:rsidRPr="009B238F" w:rsidTr="009B238F">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Eleverne bliver påvirket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9B238F" w:rsidRPr="009B238F" w:rsidTr="009B238F">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Forældrene er interesseret i, at deres børn bliver undervist og får bedst muligt ud af skolen. Dog vil de ikke opleve en stor påvirkning på ændring af skemaet.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 har visse krav der skal overholdes i forbindelse 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2E4188" w:rsidRDefault="009B238F">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8F"/>
    <w:rsid w:val="009B238F"/>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C9A51-8799-44B0-AFFF-F33275D5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9B238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238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9B238F"/>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148159">
      <w:bodyDiv w:val="1"/>
      <w:marLeft w:val="0"/>
      <w:marRight w:val="0"/>
      <w:marTop w:val="0"/>
      <w:marBottom w:val="0"/>
      <w:divBdr>
        <w:top w:val="none" w:sz="0" w:space="0" w:color="auto"/>
        <w:left w:val="none" w:sz="0" w:space="0" w:color="auto"/>
        <w:bottom w:val="none" w:sz="0" w:space="0" w:color="auto"/>
        <w:right w:val="none" w:sz="0" w:space="0" w:color="auto"/>
      </w:divBdr>
      <w:divsChild>
        <w:div w:id="84266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4419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2016-11-17T13:35:00Z</dcterms:created>
  <dcterms:modified xsi:type="dcterms:W3CDTF">2016-11-17T13:36:00Z</dcterms:modified>
</cp:coreProperties>
</file>