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CBD93" w14:textId="0C27E3B4" w:rsidR="007A3BE1" w:rsidRDefault="00CF2B84">
      <w:pPr>
        <w:pStyle w:val="berschrift1"/>
        <w:spacing w:after="360"/>
        <w:jc w:val="center"/>
        <w:rPr>
          <w:sz w:val="28"/>
        </w:rPr>
      </w:pPr>
      <w:r>
        <w:rPr>
          <w:sz w:val="28"/>
        </w:rPr>
        <w:t xml:space="preserve"> </w:t>
      </w:r>
      <w:r w:rsidR="007A3BE1">
        <w:rPr>
          <w:sz w:val="28"/>
        </w:rPr>
        <w:t>STATUTEN</w:t>
      </w:r>
    </w:p>
    <w:p w14:paraId="72A1781B" w14:textId="77777777" w:rsidR="007A3BE1" w:rsidRDefault="007A3BE1">
      <w:pPr>
        <w:jc w:val="center"/>
      </w:pPr>
    </w:p>
    <w:p w14:paraId="37899D7E" w14:textId="77777777" w:rsidR="007A3BE1" w:rsidRDefault="007A3BE1">
      <w:pPr>
        <w:jc w:val="center"/>
      </w:pPr>
    </w:p>
    <w:p w14:paraId="356BC404" w14:textId="77777777" w:rsidR="007A3BE1" w:rsidRDefault="007A3BE1">
      <w:pPr>
        <w:jc w:val="center"/>
      </w:pPr>
      <w:r>
        <w:t>der</w:t>
      </w:r>
    </w:p>
    <w:p w14:paraId="024B8DBF" w14:textId="77777777" w:rsidR="007A3BE1" w:rsidRDefault="007A3BE1">
      <w:pPr>
        <w:jc w:val="center"/>
      </w:pPr>
    </w:p>
    <w:p w14:paraId="27898605" w14:textId="77777777" w:rsidR="007A3BE1" w:rsidRDefault="007A3BE1">
      <w:pPr>
        <w:jc w:val="center"/>
      </w:pPr>
    </w:p>
    <w:p w14:paraId="61E7390C" w14:textId="77777777" w:rsidR="007A3BE1" w:rsidRDefault="007A3BE1">
      <w:pPr>
        <w:jc w:val="center"/>
      </w:pPr>
    </w:p>
    <w:p w14:paraId="7E8459EC" w14:textId="77777777" w:rsidR="007A3BE1" w:rsidRDefault="007A3BE1">
      <w:pPr>
        <w:jc w:val="center"/>
        <w:rPr>
          <w:sz w:val="28"/>
        </w:rPr>
      </w:pPr>
      <w:r>
        <w:rPr>
          <w:sz w:val="28"/>
        </w:rPr>
        <w:t xml:space="preserve">[             </w:t>
      </w:r>
      <w:r>
        <w:rPr>
          <w:sz w:val="28"/>
        </w:rPr>
        <w:sym w:font="Symbol" w:char="F05D"/>
      </w:r>
      <w:r>
        <w:rPr>
          <w:sz w:val="28"/>
        </w:rPr>
        <w:t xml:space="preserve">  AG</w:t>
      </w:r>
    </w:p>
    <w:p w14:paraId="367AA766" w14:textId="77777777" w:rsidR="007A3BE1" w:rsidRDefault="007A3BE1">
      <w:pPr>
        <w:jc w:val="center"/>
      </w:pPr>
    </w:p>
    <w:p w14:paraId="1A74C6DA" w14:textId="77777777" w:rsidR="007A3BE1" w:rsidRDefault="007A3BE1">
      <w:pPr>
        <w:jc w:val="center"/>
      </w:pPr>
    </w:p>
    <w:p w14:paraId="0CFD6806" w14:textId="0A08A696" w:rsidR="007A3BE1" w:rsidRDefault="007A3BE1">
      <w:pPr>
        <w:jc w:val="center"/>
      </w:pPr>
      <w:r>
        <w:t xml:space="preserve">mit Sitz in [     </w:t>
      </w:r>
      <w:r w:rsidR="00CF2B84">
        <w:t xml:space="preserve"> </w:t>
      </w:r>
      <w:r>
        <w:t xml:space="preserve">    </w:t>
      </w:r>
      <w:proofErr w:type="gramStart"/>
      <w:r>
        <w:t xml:space="preserve">  ]</w:t>
      </w:r>
      <w:proofErr w:type="gramEnd"/>
    </w:p>
    <w:p w14:paraId="708C64F3" w14:textId="77777777" w:rsidR="007A3BE1" w:rsidRDefault="007A3BE1">
      <w:pPr>
        <w:jc w:val="center"/>
      </w:pPr>
    </w:p>
    <w:p w14:paraId="5509B603" w14:textId="77777777" w:rsidR="007A3BE1" w:rsidRDefault="007A3BE1">
      <w:pPr>
        <w:pStyle w:val="berschrift2"/>
      </w:pPr>
      <w:r>
        <w:t>I</w:t>
      </w:r>
      <w:r w:rsidR="00B21BEC">
        <w:t>.</w:t>
      </w:r>
      <w:r>
        <w:tab/>
        <w:t>Grundlage</w:t>
      </w:r>
    </w:p>
    <w:p w14:paraId="7098751E" w14:textId="77777777" w:rsidR="007A3BE1" w:rsidRDefault="007A3BE1">
      <w:pPr>
        <w:pStyle w:val="berschrift3"/>
      </w:pPr>
      <w:r>
        <w:t>Artikel 1 – Firma und Sitz</w:t>
      </w:r>
    </w:p>
    <w:p w14:paraId="23D1EC8C" w14:textId="77777777" w:rsidR="007A3BE1" w:rsidRDefault="007A3BE1">
      <w:pPr>
        <w:spacing w:after="360"/>
      </w:pPr>
      <w:r>
        <w:t>Unter der Firma</w:t>
      </w:r>
    </w:p>
    <w:p w14:paraId="476C7905" w14:textId="77777777" w:rsidR="007A3BE1" w:rsidRDefault="007A3BE1">
      <w:pPr>
        <w:spacing w:after="360"/>
      </w:pPr>
      <w:r>
        <w:t xml:space="preserve">[             </w:t>
      </w:r>
      <w:r>
        <w:sym w:font="Symbol" w:char="F05D"/>
      </w:r>
      <w:r>
        <w:t xml:space="preserve">   AG</w:t>
      </w:r>
    </w:p>
    <w:p w14:paraId="276B9D91" w14:textId="77777777" w:rsidR="007A3BE1" w:rsidRDefault="007A3BE1">
      <w:r>
        <w:t>besteht mit Sitz in [politische Gemeinde, Kanton] auf unbestimmte Dauer eine Aktiengesellschaft gemäss Art. 620 ff. OR.</w:t>
      </w:r>
    </w:p>
    <w:p w14:paraId="66889AF7" w14:textId="77777777" w:rsidR="007A3BE1" w:rsidRDefault="007A3BE1">
      <w:pPr>
        <w:pStyle w:val="berschrift3"/>
      </w:pPr>
      <w:r>
        <w:t>Artikel 2 – Zweck</w:t>
      </w:r>
    </w:p>
    <w:p w14:paraId="21ADE706" w14:textId="7B3E57F2" w:rsidR="007A3BE1" w:rsidRDefault="007A3BE1">
      <w:r>
        <w:t xml:space="preserve">Die Gesellschaft bezweckt [                                                                                        </w:t>
      </w:r>
      <w:r w:rsidR="00515EBD">
        <w:t xml:space="preserve"> </w:t>
      </w:r>
      <w:r>
        <w:t xml:space="preserve">       </w:t>
      </w:r>
      <w:proofErr w:type="gramStart"/>
      <w:r>
        <w:t xml:space="preserve">  ]</w:t>
      </w:r>
      <w:proofErr w:type="gramEnd"/>
      <w:r>
        <w:t>.</w:t>
      </w:r>
    </w:p>
    <w:p w14:paraId="27849D3C" w14:textId="77777777" w:rsidR="007A3BE1" w:rsidRDefault="007A3BE1"/>
    <w:p w14:paraId="2590C849" w14:textId="77777777" w:rsidR="007A3BE1" w:rsidRDefault="007A3BE1">
      <w:r>
        <w:t>Die Gesellschaft kann Zweigniederlassungen und Tochtergesellschaften im In- und Ausland errichten und sich an anderen Unternehmen im In- und Ausland beteiligen sowie alle Geschäfte tätigen, die direkt oder indirekt mit ihrem Zweck in Zusammenhang stehen. Die Gesellschaft kann im In- und Ausland Grundeigentum erwerben, belasten, veräussern und verwalten. Sie kann auch Finanzierungen für eigene oder fremde Rechnung vornehmen sowie Garantien und Bürgschaften für Tochtergesellschaften und Dritte eingehen.</w:t>
      </w:r>
    </w:p>
    <w:p w14:paraId="3E6068EB" w14:textId="77777777" w:rsidR="007A3BE1" w:rsidRDefault="007A3BE1">
      <w:pPr>
        <w:pStyle w:val="berschrift2"/>
      </w:pPr>
      <w:r>
        <w:t>II.</w:t>
      </w:r>
      <w:r>
        <w:tab/>
        <w:t>Kapital</w:t>
      </w:r>
    </w:p>
    <w:p w14:paraId="13A5D564" w14:textId="77777777" w:rsidR="007A3BE1" w:rsidRDefault="007A3BE1">
      <w:pPr>
        <w:pStyle w:val="berschrift3"/>
      </w:pPr>
      <w:r>
        <w:t>Artikel 3 – Aktienkapital und Aktien</w:t>
      </w:r>
    </w:p>
    <w:p w14:paraId="5BF824E2" w14:textId="21C0DE25" w:rsidR="007A3BE1" w:rsidRDefault="007A3BE1">
      <w:r>
        <w:t xml:space="preserve">Das Aktienkapital beträgt CHF [            </w:t>
      </w:r>
      <w:proofErr w:type="gramStart"/>
      <w:r>
        <w:t xml:space="preserve">  ]</w:t>
      </w:r>
      <w:proofErr w:type="gramEnd"/>
      <w:r>
        <w:t xml:space="preserve"> (Schweizer Franken [                              ]) und ist eingeteilt in [      ] Namenaktien zu CHF [       ] (Schweizer Franken [                              ]). </w:t>
      </w:r>
    </w:p>
    <w:p w14:paraId="59ABDDD9" w14:textId="77777777" w:rsidR="007A3BE1" w:rsidRDefault="007A3BE1"/>
    <w:p w14:paraId="316AAF51" w14:textId="77777777" w:rsidR="007A3BE1" w:rsidRDefault="007A3BE1">
      <w:r>
        <w:t>Die Aktien sind vollständig liberiert.</w:t>
      </w:r>
    </w:p>
    <w:p w14:paraId="64D475F7" w14:textId="77777777" w:rsidR="007A3BE1" w:rsidRDefault="007A3BE1">
      <w:pPr>
        <w:pStyle w:val="berschrift3"/>
      </w:pPr>
      <w:r>
        <w:lastRenderedPageBreak/>
        <w:t>Artikel 4 – Aktienzertifikate</w:t>
      </w:r>
    </w:p>
    <w:p w14:paraId="45BE5FC5" w14:textId="77777777" w:rsidR="007A3BE1" w:rsidRDefault="007A3BE1">
      <w:r>
        <w:rPr>
          <w:szCs w:val="20"/>
        </w:rPr>
        <w:t>Anstelle von einzelnen Aktien kann die Gesellschaft Zertifikate über mehrere Aktien ausstellen.</w:t>
      </w:r>
      <w:r>
        <w:t xml:space="preserve"> </w:t>
      </w:r>
    </w:p>
    <w:p w14:paraId="336CD6A5" w14:textId="77777777" w:rsidR="007A3BE1" w:rsidRDefault="00E06591">
      <w:pPr>
        <w:pStyle w:val="berschrift3"/>
      </w:pPr>
      <w:r>
        <w:t xml:space="preserve">Artikel 5 – </w:t>
      </w:r>
      <w:r w:rsidR="007A3BE1">
        <w:t>Zerlegung und Zusammenlegung von Aktien</w:t>
      </w:r>
    </w:p>
    <w:p w14:paraId="717335C1" w14:textId="7F16F566" w:rsidR="00E06591" w:rsidRPr="00E06591" w:rsidRDefault="00E06591" w:rsidP="00E06591">
      <w:r w:rsidRPr="00E06591">
        <w:t>Die Generalversammlung kann bei unverändert bleibendem Aktienkapital durch Statutenänderung Aktien in solche von kleinerem Nennwert zerlegen oder zu solchen von grösserem Nennwert zusammenlegen, wobei letzteres der Zustimmung des Aktionärs bedarf.</w:t>
      </w:r>
    </w:p>
    <w:p w14:paraId="5E19B7CC" w14:textId="77777777" w:rsidR="007A3BE1" w:rsidRDefault="007A3BE1">
      <w:pPr>
        <w:pStyle w:val="berschrift3"/>
      </w:pPr>
      <w:r>
        <w:t>Artikel 6 – Aktienbuch</w:t>
      </w:r>
    </w:p>
    <w:p w14:paraId="1BACE8C0" w14:textId="77777777" w:rsidR="007A3BE1" w:rsidRDefault="007A3BE1">
      <w:r>
        <w:t>Der Verwaltungsrat führt über alle Namenaktien ein Aktienbuch, in welches die Eigentümer und Nutzniesser mit Namen und Adresse eingetragen werden.</w:t>
      </w:r>
    </w:p>
    <w:p w14:paraId="5369C6D8" w14:textId="77777777" w:rsidR="007A3BE1" w:rsidRDefault="007A3BE1"/>
    <w:p w14:paraId="1BFE360C" w14:textId="2ED14098" w:rsidR="007A3BE1" w:rsidRDefault="007A3BE1">
      <w:r>
        <w:t>Im Verhältnis zur Gesellschaft gilt als Aktionär oder als Nutzniesser, wer im Aktienbuch eingetragen ist.</w:t>
      </w:r>
    </w:p>
    <w:p w14:paraId="026C1B37" w14:textId="77777777" w:rsidR="007A3BE1" w:rsidRDefault="007A3BE1">
      <w:pPr>
        <w:pStyle w:val="berschrift3"/>
      </w:pPr>
      <w:r>
        <w:t xml:space="preserve">Artikel 7 – Übertragung der Aktien </w:t>
      </w:r>
    </w:p>
    <w:p w14:paraId="085CD0F2" w14:textId="77777777" w:rsidR="007A3BE1" w:rsidRDefault="007A3BE1">
      <w:r>
        <w:t>Die Übertragung der Namenaktien oder die Begründung einer Nutzniessung an den Namenaktien bedarf der Genehmigung durch den Verwaltungsrat.</w:t>
      </w:r>
    </w:p>
    <w:p w14:paraId="6BC87DB9" w14:textId="77777777" w:rsidR="007A3BE1" w:rsidRDefault="007A3BE1"/>
    <w:p w14:paraId="058C20AE" w14:textId="77777777" w:rsidR="007A3BE1" w:rsidRDefault="007A3BE1">
      <w:pPr>
        <w:rPr>
          <w:lang w:val="de-DE"/>
        </w:rPr>
      </w:pPr>
      <w:r>
        <w:t xml:space="preserve">Der Verwaltungsrat kann das Gesuch um Zustimmung ablehnen, </w:t>
      </w:r>
      <w:r>
        <w:rPr>
          <w:lang w:val="de-DE"/>
        </w:rPr>
        <w:t>wenn e</w:t>
      </w:r>
      <w:r w:rsidR="00B63AC0">
        <w:rPr>
          <w:lang w:val="de-DE"/>
        </w:rPr>
        <w:t xml:space="preserve">r im Namen der Gesellschaft dem </w:t>
      </w:r>
      <w:proofErr w:type="spellStart"/>
      <w:r>
        <w:rPr>
          <w:lang w:val="de-DE"/>
        </w:rPr>
        <w:t>Veräusserer</w:t>
      </w:r>
      <w:proofErr w:type="spellEnd"/>
      <w:r>
        <w:rPr>
          <w:lang w:val="de-DE"/>
        </w:rPr>
        <w:t xml:space="preserve"> der Aktien anbietet, die Aktien für deren Rechnung, für Rechnung anderer Aktionäre oder für Rechnung Dritter zum wirklichen Wert im Zeitpunkt des Gesuches zu übernehmen oder wenn der Erwerber nicht ausdrücklich erklärt, dass er die Aktien im eigenen Namen und auf eigene Rechnung erworben hat.</w:t>
      </w:r>
    </w:p>
    <w:p w14:paraId="6BCE6EED" w14:textId="77777777" w:rsidR="007A3BE1" w:rsidRDefault="007A3BE1">
      <w:pPr>
        <w:rPr>
          <w:lang w:val="de-DE"/>
        </w:rPr>
      </w:pPr>
    </w:p>
    <w:p w14:paraId="69827162" w14:textId="2CA7C87C" w:rsidR="007A3BE1" w:rsidRDefault="007A3BE1" w:rsidP="00C15CD3">
      <w:r>
        <w:rPr>
          <w:lang w:val="de-DE"/>
        </w:rPr>
        <w:t>Sind die Aktien durch Erbgang, Erbteilung, eheliches Güterrecht oder Zwangsvollstreckung erworben worden, so kann der Verwaltungsrat das Gesuch um Zustimmung nur ablehnen, wenn er im Namen der Gesellschaft dem Erwerber die Übernahme der Aktien zum wirklichen Wert anbietet. Der Erwerber kann verlangen, dass der Richter am Sitz der Gesellschaft den wirklichen Wert bestimmt. Die Kosten der Bewertung trägt die Gesellschaft.</w:t>
      </w:r>
    </w:p>
    <w:p w14:paraId="36437EFA" w14:textId="77777777" w:rsidR="007A3BE1" w:rsidRDefault="007A3BE1" w:rsidP="00C15CD3">
      <w:pPr>
        <w:pStyle w:val="berschrift2"/>
      </w:pPr>
      <w:r>
        <w:t xml:space="preserve">III. </w:t>
      </w:r>
      <w:r>
        <w:tab/>
        <w:t>Organisation der Gesellschaft</w:t>
      </w:r>
    </w:p>
    <w:p w14:paraId="566B05B9" w14:textId="77777777" w:rsidR="007A3BE1" w:rsidRDefault="007A3BE1" w:rsidP="00C15CD3">
      <w:pPr>
        <w:pStyle w:val="berschrift3"/>
      </w:pPr>
      <w:r>
        <w:t>A.</w:t>
      </w:r>
      <w:r>
        <w:tab/>
        <w:t>Generalversammlung</w:t>
      </w:r>
    </w:p>
    <w:p w14:paraId="62C7804B" w14:textId="77777777" w:rsidR="007A3BE1" w:rsidRDefault="007A3BE1" w:rsidP="00C15CD3">
      <w:pPr>
        <w:pStyle w:val="berschrift3"/>
      </w:pPr>
      <w:r>
        <w:t>Artikel 8 – Befugnisse</w:t>
      </w:r>
    </w:p>
    <w:p w14:paraId="1A91A147" w14:textId="77777777" w:rsidR="007A3BE1" w:rsidRDefault="007A3BE1" w:rsidP="00C15CD3">
      <w:r>
        <w:t>Oberstes Organ der Gesellschaft ist die Generalversammlung der Aktionäre. Ihr stehen folgende unübertragbare Befugnisse zu:</w:t>
      </w:r>
    </w:p>
    <w:p w14:paraId="5FE4E713" w14:textId="77777777" w:rsidR="007A3BE1" w:rsidRDefault="007A3BE1" w:rsidP="00C15CD3"/>
    <w:p w14:paraId="6B81AC46" w14:textId="77777777" w:rsidR="007A3BE1" w:rsidRDefault="007A3BE1" w:rsidP="00C15CD3">
      <w:pPr>
        <w:pStyle w:val="Textkrper-Zeileneinzug"/>
      </w:pPr>
      <w:r>
        <w:t>1.</w:t>
      </w:r>
      <w:r>
        <w:tab/>
        <w:t>die Festsetzung und Änderung der Statuten;</w:t>
      </w:r>
    </w:p>
    <w:p w14:paraId="68BAFA9B" w14:textId="77777777" w:rsidR="007A3BE1" w:rsidRDefault="007A3BE1" w:rsidP="00C15CD3">
      <w:pPr>
        <w:pStyle w:val="Textkrper-Zeileneinzug"/>
      </w:pPr>
      <w:r>
        <w:t>2.</w:t>
      </w:r>
      <w:r>
        <w:tab/>
        <w:t xml:space="preserve">die Wahl der Mitglieder des Verwaltungsrates und der Revisionsstelle; </w:t>
      </w:r>
    </w:p>
    <w:p w14:paraId="682CEBD7" w14:textId="77777777" w:rsidR="007A3BE1" w:rsidRDefault="004C4054" w:rsidP="00C15CD3">
      <w:pPr>
        <w:pStyle w:val="Textkrper-Zeileneinzug"/>
      </w:pPr>
      <w:r>
        <w:lastRenderedPageBreak/>
        <w:t>3.</w:t>
      </w:r>
      <w:r>
        <w:tab/>
        <w:t>die Genehmigung des Lagebericht</w:t>
      </w:r>
      <w:r w:rsidR="007A3BE1">
        <w:t>s und der Konzernrechnung;</w:t>
      </w:r>
    </w:p>
    <w:p w14:paraId="1E6087A6" w14:textId="77777777" w:rsidR="001945BD" w:rsidRDefault="007A3BE1" w:rsidP="00C15CD3">
      <w:pPr>
        <w:pStyle w:val="Textkrper-Zeileneinzug"/>
      </w:pPr>
      <w:r>
        <w:t>4.</w:t>
      </w:r>
      <w:r>
        <w:tab/>
        <w:t>die Genehmigung der Jahresrechnung sowie die Beschlussfassung über die Verwendung des Bilanzgewinnes, insbesondere die Festsetzung der Dividende und der Tantieme;</w:t>
      </w:r>
    </w:p>
    <w:p w14:paraId="7840BE66" w14:textId="77777777" w:rsidR="003660F4" w:rsidRPr="00E90522" w:rsidRDefault="00BD6875" w:rsidP="00C15CD3">
      <w:pPr>
        <w:pStyle w:val="Textkrper-Zeileneinzug"/>
      </w:pPr>
      <w:r>
        <w:t>5.</w:t>
      </w:r>
      <w:r>
        <w:tab/>
      </w:r>
      <w:r w:rsidR="003660F4" w:rsidRPr="00E90522">
        <w:t>die Festsetzung der Zwischendividende und die Genehmigung des dafür erforderlichen Zwischenabschlusses;</w:t>
      </w:r>
    </w:p>
    <w:p w14:paraId="66D539C0" w14:textId="77777777" w:rsidR="003660F4" w:rsidRDefault="00BD6875" w:rsidP="00C15CD3">
      <w:pPr>
        <w:pStyle w:val="Textkrper-Zeileneinzug"/>
      </w:pPr>
      <w:r>
        <w:t>6.</w:t>
      </w:r>
      <w:r>
        <w:tab/>
      </w:r>
      <w:r w:rsidR="003660F4" w:rsidRPr="00E90522">
        <w:t>die Beschlussfassung über die Rückzahlung der gesetzlichen</w:t>
      </w:r>
      <w:r w:rsidR="00AA2377">
        <w:t xml:space="preserve"> </w:t>
      </w:r>
      <w:r w:rsidR="003660F4" w:rsidRPr="00E90522">
        <w:t>Kapitalreserve;</w:t>
      </w:r>
    </w:p>
    <w:p w14:paraId="1D156DC4" w14:textId="3BC2F88A" w:rsidR="007A3BE1" w:rsidRDefault="00BD6875" w:rsidP="00C15CD3">
      <w:pPr>
        <w:pStyle w:val="Textkrper-Zeileneinzug"/>
      </w:pPr>
      <w:r>
        <w:t>7</w:t>
      </w:r>
      <w:r w:rsidR="007A3BE1">
        <w:t>.</w:t>
      </w:r>
      <w:r w:rsidR="007A3BE1">
        <w:tab/>
        <w:t>die Entlastung der Mitglieder des Verwaltungsrates;</w:t>
      </w:r>
    </w:p>
    <w:p w14:paraId="371B6DB2" w14:textId="5ABDA411" w:rsidR="007A3BE1" w:rsidRDefault="005575E5" w:rsidP="00C15CD3">
      <w:pPr>
        <w:pStyle w:val="Textkrper-Zeileneinzug"/>
      </w:pPr>
      <w:r>
        <w:t>8</w:t>
      </w:r>
      <w:r w:rsidR="007A3BE1">
        <w:t>.</w:t>
      </w:r>
      <w:r w:rsidR="007A3BE1">
        <w:tab/>
        <w:t>die Beschlussfassung über die Gegenstände, die der Generalversammlung durch das Gesetz oder die Statuten vorbehalten sind.</w:t>
      </w:r>
    </w:p>
    <w:p w14:paraId="324C1EAE" w14:textId="77777777" w:rsidR="007A3BE1" w:rsidRDefault="007A3BE1" w:rsidP="00C15CD3">
      <w:pPr>
        <w:pStyle w:val="berschrift3"/>
      </w:pPr>
      <w:r>
        <w:t xml:space="preserve">Artikel 9 – Einberufung und </w:t>
      </w:r>
      <w:proofErr w:type="spellStart"/>
      <w:r>
        <w:t>Traktandierung</w:t>
      </w:r>
      <w:proofErr w:type="spellEnd"/>
    </w:p>
    <w:p w14:paraId="2D41CAF6" w14:textId="5395483B" w:rsidR="007A3BE1" w:rsidRDefault="007A3BE1" w:rsidP="00C15CD3">
      <w:pPr>
        <w:rPr>
          <w:lang w:val="de-DE"/>
        </w:rPr>
      </w:pPr>
      <w:r>
        <w:rPr>
          <w:lang w:val="de-DE"/>
        </w:rPr>
        <w:t xml:space="preserve">Die ordentliche Versammlung findet jährlich innerhalb </w:t>
      </w:r>
      <w:r w:rsidR="00604D58">
        <w:rPr>
          <w:lang w:val="de-DE"/>
        </w:rPr>
        <w:t xml:space="preserve">von </w:t>
      </w:r>
      <w:r>
        <w:rPr>
          <w:lang w:val="de-DE"/>
        </w:rPr>
        <w:t xml:space="preserve">sechs Monaten nach </w:t>
      </w:r>
      <w:r w:rsidR="00604D58">
        <w:rPr>
          <w:lang w:val="de-DE"/>
        </w:rPr>
        <w:t>Abs</w:t>
      </w:r>
      <w:r>
        <w:rPr>
          <w:lang w:val="de-DE"/>
        </w:rPr>
        <w:t>chluss des Geschäftsjahres statt</w:t>
      </w:r>
      <w:r w:rsidR="00612323">
        <w:rPr>
          <w:lang w:val="de-DE"/>
        </w:rPr>
        <w:t xml:space="preserve">, </w:t>
      </w:r>
      <w:proofErr w:type="spellStart"/>
      <w:r w:rsidR="00612323">
        <w:rPr>
          <w:lang w:val="de-DE"/>
        </w:rPr>
        <w:t>ausserordentliche</w:t>
      </w:r>
      <w:proofErr w:type="spellEnd"/>
      <w:r w:rsidR="00612323">
        <w:rPr>
          <w:lang w:val="de-DE"/>
        </w:rPr>
        <w:t xml:space="preserve"> Versammlungen werden je nach Bedürfnis einberufen</w:t>
      </w:r>
      <w:r w:rsidR="00816BE9">
        <w:rPr>
          <w:lang w:val="de-DE"/>
        </w:rPr>
        <w:t>.</w:t>
      </w:r>
    </w:p>
    <w:p w14:paraId="5013F95C" w14:textId="77777777" w:rsidR="007A3BE1" w:rsidRDefault="007A3BE1" w:rsidP="00C15CD3">
      <w:pPr>
        <w:rPr>
          <w:lang w:val="de-DE"/>
        </w:rPr>
      </w:pPr>
    </w:p>
    <w:p w14:paraId="29522EE4" w14:textId="2100EB08" w:rsidR="007A3BE1" w:rsidRDefault="000728ED" w:rsidP="00C15CD3">
      <w:pPr>
        <w:autoSpaceDE w:val="0"/>
        <w:autoSpaceDN w:val="0"/>
        <w:adjustRightInd w:val="0"/>
        <w:rPr>
          <w:lang w:val="de-DE"/>
        </w:rPr>
      </w:pPr>
      <w:r w:rsidRPr="00E90522">
        <w:rPr>
          <w:lang w:val="de-DE"/>
        </w:rPr>
        <w:t>Der Verwaltungsrat teilt den Aktionären die Einberufung der Generalversammlung</w:t>
      </w:r>
      <w:r>
        <w:rPr>
          <w:lang w:val="de-DE"/>
        </w:rPr>
        <w:t xml:space="preserve"> </w:t>
      </w:r>
      <w:r w:rsidRPr="00E90522">
        <w:rPr>
          <w:lang w:val="de-DE"/>
        </w:rPr>
        <w:t>mindestens 20 Tage vor dem Versammlungstag mit.</w:t>
      </w:r>
      <w:r>
        <w:rPr>
          <w:lang w:val="de-DE"/>
        </w:rPr>
        <w:t xml:space="preserve"> </w:t>
      </w:r>
      <w:r w:rsidR="007A3BE1">
        <w:rPr>
          <w:lang w:val="de-DE"/>
        </w:rPr>
        <w:t>Die Einberufung erfolgt durch den Verwaltungsrat, nötigenfalls durch die Revisionsstelle. Das Einberufungsrecht steht auch den Liquidatoren und den Vertretern der Anleihensgläubiger zu.</w:t>
      </w:r>
    </w:p>
    <w:p w14:paraId="50DDACF4" w14:textId="77777777" w:rsidR="007A3BE1" w:rsidRDefault="007A3BE1" w:rsidP="00C15CD3">
      <w:pPr>
        <w:rPr>
          <w:lang w:val="de-DE"/>
        </w:rPr>
      </w:pPr>
    </w:p>
    <w:p w14:paraId="6340FB75" w14:textId="40517A1B" w:rsidR="007A3BE1" w:rsidRDefault="007A3BE1" w:rsidP="00C15CD3">
      <w:pPr>
        <w:rPr>
          <w:lang w:val="de-DE"/>
        </w:rPr>
      </w:pPr>
      <w:r>
        <w:rPr>
          <w:lang w:val="de-DE"/>
        </w:rPr>
        <w:t>Die Einberufung einer Generalversammlung kann auch von einem oder mehreren Aktionären, die zusammen</w:t>
      </w:r>
      <w:r w:rsidR="001F180D">
        <w:rPr>
          <w:lang w:val="de-DE"/>
        </w:rPr>
        <w:t xml:space="preserve"> </w:t>
      </w:r>
      <w:r w:rsidR="00277811">
        <w:rPr>
          <w:lang w:val="de-DE"/>
        </w:rPr>
        <w:t xml:space="preserve">über </w:t>
      </w:r>
      <w:r>
        <w:rPr>
          <w:lang w:val="de-DE"/>
        </w:rPr>
        <w:t>mindestens</w:t>
      </w:r>
      <w:r w:rsidR="00193C32">
        <w:rPr>
          <w:lang w:val="de-DE"/>
        </w:rPr>
        <w:t xml:space="preserve"> </w:t>
      </w:r>
      <w:r>
        <w:rPr>
          <w:lang w:val="de-DE"/>
        </w:rPr>
        <w:t xml:space="preserve">10 Prozent des Aktienkapitals </w:t>
      </w:r>
      <w:r w:rsidR="00C44E42">
        <w:rPr>
          <w:lang w:val="de-DE"/>
        </w:rPr>
        <w:t>oder der Stimmen verfügen</w:t>
      </w:r>
      <w:r>
        <w:rPr>
          <w:lang w:val="de-DE"/>
        </w:rPr>
        <w:t>, verlangt we</w:t>
      </w:r>
      <w:r w:rsidR="0022003F">
        <w:rPr>
          <w:lang w:val="de-DE"/>
        </w:rPr>
        <w:t>rden</w:t>
      </w:r>
      <w:r w:rsidR="000F1E66">
        <w:rPr>
          <w:lang w:val="de-DE"/>
        </w:rPr>
        <w:t xml:space="preserve">. </w:t>
      </w:r>
      <w:r w:rsidR="00DF07C7">
        <w:rPr>
          <w:lang w:val="de-DE"/>
        </w:rPr>
        <w:t>Sie müssen d</w:t>
      </w:r>
      <w:r w:rsidR="0078104F">
        <w:rPr>
          <w:lang w:val="de-DE"/>
        </w:rPr>
        <w:t xml:space="preserve">ie Einberufung </w:t>
      </w:r>
      <w:r w:rsidR="00DF07C7">
        <w:rPr>
          <w:lang w:val="de-DE"/>
        </w:rPr>
        <w:t>schriftlich verlangen.</w:t>
      </w:r>
      <w:r w:rsidR="00C11B7D">
        <w:rPr>
          <w:lang w:val="de-DE"/>
        </w:rPr>
        <w:t xml:space="preserve"> </w:t>
      </w:r>
      <w:r w:rsidR="00BA42B9">
        <w:rPr>
          <w:lang w:val="de-DE"/>
        </w:rPr>
        <w:t>Die Verhandlungsgegenstände und Anträge müssen im Begehren enthalten sein.</w:t>
      </w:r>
    </w:p>
    <w:p w14:paraId="4EFBAA25" w14:textId="77777777" w:rsidR="007A3BE1" w:rsidRDefault="007A3BE1" w:rsidP="00C15CD3">
      <w:pPr>
        <w:rPr>
          <w:lang w:val="de-DE"/>
        </w:rPr>
      </w:pPr>
    </w:p>
    <w:p w14:paraId="27BB23D6" w14:textId="26F95E06" w:rsidR="007A3BE1" w:rsidRDefault="007A3BE1" w:rsidP="00C15CD3">
      <w:pPr>
        <w:rPr>
          <w:lang w:val="de-DE"/>
        </w:rPr>
      </w:pPr>
      <w:r>
        <w:rPr>
          <w:lang w:val="de-DE"/>
        </w:rPr>
        <w:t xml:space="preserve">In der Einberufung sind </w:t>
      </w:r>
      <w:r w:rsidR="000874D4">
        <w:rPr>
          <w:lang w:val="de-DE"/>
        </w:rPr>
        <w:t xml:space="preserve">das Datum, der Beginn, die Art und der Ort der Generalversammlung, </w:t>
      </w:r>
      <w:r>
        <w:rPr>
          <w:lang w:val="de-DE"/>
        </w:rPr>
        <w:t>die Verhandlungsgegenstände</w:t>
      </w:r>
      <w:r w:rsidR="000874D4">
        <w:rPr>
          <w:lang w:val="de-DE"/>
        </w:rPr>
        <w:t>,</w:t>
      </w:r>
      <w:r w:rsidR="00201909">
        <w:rPr>
          <w:lang w:val="de-DE"/>
        </w:rPr>
        <w:t xml:space="preserve"> </w:t>
      </w:r>
      <w:r>
        <w:rPr>
          <w:lang w:val="de-DE"/>
        </w:rPr>
        <w:t>die Anträge des Verwaltungsrates</w:t>
      </w:r>
      <w:r w:rsidR="00C36671">
        <w:rPr>
          <w:lang w:val="de-DE"/>
        </w:rPr>
        <w:t>, gegeben</w:t>
      </w:r>
      <w:r w:rsidR="002461A0">
        <w:rPr>
          <w:lang w:val="de-DE"/>
        </w:rPr>
        <w:t>en</w:t>
      </w:r>
      <w:r w:rsidR="00C36671">
        <w:rPr>
          <w:lang w:val="de-DE"/>
        </w:rPr>
        <w:t>falls die Anträge der</w:t>
      </w:r>
      <w:r w:rsidR="00277811">
        <w:rPr>
          <w:lang w:val="de-DE"/>
        </w:rPr>
        <w:t xml:space="preserve"> </w:t>
      </w:r>
      <w:r>
        <w:rPr>
          <w:lang w:val="de-DE"/>
        </w:rPr>
        <w:t>Aktionäre</w:t>
      </w:r>
      <w:r w:rsidR="001F0BBF">
        <w:rPr>
          <w:lang w:val="de-DE"/>
        </w:rPr>
        <w:t xml:space="preserve"> samt kurzer Begründung</w:t>
      </w:r>
      <w:r>
        <w:rPr>
          <w:lang w:val="de-DE"/>
        </w:rPr>
        <w:t xml:space="preserve"> </w:t>
      </w:r>
      <w:r w:rsidR="00C36671">
        <w:rPr>
          <w:lang w:val="de-DE"/>
        </w:rPr>
        <w:t>sowie</w:t>
      </w:r>
      <w:r w:rsidR="000874D4">
        <w:rPr>
          <w:lang w:val="de-DE"/>
        </w:rPr>
        <w:t xml:space="preserve"> gegebenenfalls der Name und die Adresse des unabhängigen Stimmrechtsvert</w:t>
      </w:r>
      <w:r w:rsidR="00277811">
        <w:rPr>
          <w:lang w:val="de-DE"/>
        </w:rPr>
        <w:t>r</w:t>
      </w:r>
      <w:r w:rsidR="000874D4">
        <w:rPr>
          <w:lang w:val="de-DE"/>
        </w:rPr>
        <w:t xml:space="preserve">eters </w:t>
      </w:r>
      <w:r>
        <w:rPr>
          <w:lang w:val="de-DE"/>
        </w:rPr>
        <w:t>bekanntzugeben</w:t>
      </w:r>
      <w:r w:rsidR="000874D4">
        <w:rPr>
          <w:lang w:val="de-DE"/>
        </w:rPr>
        <w:t>.</w:t>
      </w:r>
    </w:p>
    <w:p w14:paraId="515A8CC7" w14:textId="77777777" w:rsidR="007A3BE1" w:rsidRDefault="007A3BE1" w:rsidP="00C15CD3">
      <w:pPr>
        <w:rPr>
          <w:lang w:val="de-DE"/>
        </w:rPr>
      </w:pPr>
    </w:p>
    <w:p w14:paraId="3DE4EE19" w14:textId="2243F006" w:rsidR="001F180D" w:rsidRDefault="00C36671" w:rsidP="00C15CD3">
      <w:pPr>
        <w:autoSpaceDE w:val="0"/>
        <w:autoSpaceDN w:val="0"/>
        <w:adjustRightInd w:val="0"/>
        <w:rPr>
          <w:lang w:val="de-DE"/>
        </w:rPr>
      </w:pPr>
      <w:r>
        <w:rPr>
          <w:lang w:val="de-DE"/>
        </w:rPr>
        <w:t xml:space="preserve">Mindestens </w:t>
      </w:r>
      <w:r w:rsidR="007A3BE1">
        <w:rPr>
          <w:lang w:val="de-DE"/>
        </w:rPr>
        <w:t xml:space="preserve">20 Tage vor der ordentlichen Generalversammlung sind der Geschäftsbericht und </w:t>
      </w:r>
      <w:r w:rsidR="00CD10D0">
        <w:rPr>
          <w:lang w:val="de-DE"/>
        </w:rPr>
        <w:t>die</w:t>
      </w:r>
      <w:r w:rsidR="007A3BE1">
        <w:rPr>
          <w:lang w:val="de-DE"/>
        </w:rPr>
        <w:t xml:space="preserve"> Revisionsbericht</w:t>
      </w:r>
      <w:r w:rsidR="00CD10D0">
        <w:rPr>
          <w:lang w:val="de-DE"/>
        </w:rPr>
        <w:t>e</w:t>
      </w:r>
      <w:r w:rsidR="007A3BE1">
        <w:rPr>
          <w:lang w:val="de-DE"/>
        </w:rPr>
        <w:t xml:space="preserve"> den Aktionären </w:t>
      </w:r>
      <w:r w:rsidR="00805EFF">
        <w:rPr>
          <w:lang w:val="de-DE"/>
        </w:rPr>
        <w:t>zugänglich zu machen</w:t>
      </w:r>
      <w:r w:rsidR="007A3BE1">
        <w:rPr>
          <w:lang w:val="de-DE"/>
        </w:rPr>
        <w:t xml:space="preserve">. </w:t>
      </w:r>
      <w:r w:rsidR="009F65DC">
        <w:rPr>
          <w:lang w:val="de-DE"/>
        </w:rPr>
        <w:t>Sofern die Unterlagen nicht elektronisch zugänglich sind, kann jeder Aktionär verlangen, dass ihm diese rechtzeitig zugestellt w</w:t>
      </w:r>
      <w:r w:rsidR="00B51674">
        <w:rPr>
          <w:lang w:val="de-DE"/>
        </w:rPr>
        <w:t xml:space="preserve">erden. </w:t>
      </w:r>
    </w:p>
    <w:p w14:paraId="758EF5A6" w14:textId="77777777" w:rsidR="001F180D" w:rsidRDefault="001F180D" w:rsidP="00C15CD3">
      <w:pPr>
        <w:autoSpaceDE w:val="0"/>
        <w:autoSpaceDN w:val="0"/>
        <w:adjustRightInd w:val="0"/>
        <w:rPr>
          <w:lang w:val="de-DE"/>
        </w:rPr>
      </w:pPr>
    </w:p>
    <w:p w14:paraId="7C26D6AD" w14:textId="235BDA71" w:rsidR="007A3BE1" w:rsidRDefault="00FE43FC" w:rsidP="00C15CD3">
      <w:pPr>
        <w:autoSpaceDE w:val="0"/>
        <w:autoSpaceDN w:val="0"/>
        <w:adjustRightInd w:val="0"/>
        <w:rPr>
          <w:lang w:val="de-DE"/>
        </w:rPr>
      </w:pPr>
      <w:r>
        <w:rPr>
          <w:lang w:val="de-DE"/>
        </w:rPr>
        <w:t>J</w:t>
      </w:r>
      <w:r w:rsidR="00C37031" w:rsidRPr="00E90522">
        <w:rPr>
          <w:lang w:val="de-DE"/>
        </w:rPr>
        <w:t>eder</w:t>
      </w:r>
      <w:r w:rsidR="00C37031">
        <w:rPr>
          <w:lang w:val="de-DE"/>
        </w:rPr>
        <w:t xml:space="preserve"> </w:t>
      </w:r>
      <w:r w:rsidR="00C37031" w:rsidRPr="00E90522">
        <w:rPr>
          <w:lang w:val="de-DE"/>
        </w:rPr>
        <w:t>Aktionär</w:t>
      </w:r>
      <w:r>
        <w:rPr>
          <w:lang w:val="de-DE"/>
        </w:rPr>
        <w:t xml:space="preserve"> kann</w:t>
      </w:r>
      <w:r w:rsidR="00C37031" w:rsidRPr="00E90522">
        <w:rPr>
          <w:lang w:val="de-DE"/>
        </w:rPr>
        <w:t xml:space="preserve"> während eines Jahres nach der Generalversammlung verlangen,</w:t>
      </w:r>
      <w:r w:rsidR="00C37031">
        <w:rPr>
          <w:lang w:val="de-DE"/>
        </w:rPr>
        <w:t xml:space="preserve"> </w:t>
      </w:r>
      <w:r w:rsidR="00C37031" w:rsidRPr="00E90522">
        <w:rPr>
          <w:lang w:val="de-DE"/>
        </w:rPr>
        <w:t>dass ihm der Geschäftsbericht in der von der Generalversammlung</w:t>
      </w:r>
      <w:r w:rsidR="00D61D29">
        <w:rPr>
          <w:lang w:val="de-DE"/>
        </w:rPr>
        <w:t xml:space="preserve"> </w:t>
      </w:r>
      <w:r w:rsidR="00C37031" w:rsidRPr="00E90522">
        <w:rPr>
          <w:lang w:val="de-DE"/>
        </w:rPr>
        <w:t>genehmigten Form sowie die Revisionsberichte zugestellt werden</w:t>
      </w:r>
      <w:r w:rsidRPr="00FE43FC">
        <w:rPr>
          <w:lang w:val="de-DE"/>
        </w:rPr>
        <w:t xml:space="preserve">, </w:t>
      </w:r>
      <w:r>
        <w:rPr>
          <w:lang w:val="de-DE"/>
        </w:rPr>
        <w:t>s</w:t>
      </w:r>
      <w:r w:rsidRPr="00ED6B8E">
        <w:rPr>
          <w:lang w:val="de-DE"/>
        </w:rPr>
        <w:t>ofern die Unterlagen nicht elektronisch zugänglich sind</w:t>
      </w:r>
      <w:r>
        <w:rPr>
          <w:lang w:val="de-DE"/>
        </w:rPr>
        <w:t>.</w:t>
      </w:r>
    </w:p>
    <w:p w14:paraId="7906A581" w14:textId="77777777" w:rsidR="007A3BE1" w:rsidRDefault="007A3BE1" w:rsidP="00C15CD3">
      <w:pPr>
        <w:rPr>
          <w:lang w:val="de-DE"/>
        </w:rPr>
      </w:pPr>
    </w:p>
    <w:p w14:paraId="4D1BF8C8" w14:textId="15D7E6BD" w:rsidR="0022003F" w:rsidRDefault="0022003F" w:rsidP="00C15CD3">
      <w:pPr>
        <w:rPr>
          <w:lang w:val="de-DE"/>
        </w:rPr>
      </w:pPr>
      <w:r>
        <w:rPr>
          <w:lang w:val="de-DE"/>
        </w:rPr>
        <w:t xml:space="preserve">Aktionäre, die zusammen </w:t>
      </w:r>
      <w:r w:rsidR="00BB0049">
        <w:rPr>
          <w:lang w:val="de-DE"/>
        </w:rPr>
        <w:t xml:space="preserve">über </w:t>
      </w:r>
      <w:r>
        <w:rPr>
          <w:lang w:val="de-DE"/>
        </w:rPr>
        <w:t xml:space="preserve">mindestens 5 Prozent des Aktienkapitals oder der Stimmen verfügen, können die </w:t>
      </w:r>
      <w:proofErr w:type="spellStart"/>
      <w:r>
        <w:rPr>
          <w:lang w:val="de-DE"/>
        </w:rPr>
        <w:t>Traktandierung</w:t>
      </w:r>
      <w:proofErr w:type="spellEnd"/>
      <w:r>
        <w:rPr>
          <w:lang w:val="de-DE"/>
        </w:rPr>
        <w:t xml:space="preserve"> von Verhandlungsgegenständen oder die Aufnahme eines Antrages zu einem Verhandlungsgegenstand in die Einberufung der Generalversammlung verlangen.</w:t>
      </w:r>
    </w:p>
    <w:p w14:paraId="758B9A7D" w14:textId="77777777" w:rsidR="0022003F" w:rsidRDefault="0022003F" w:rsidP="00C15CD3">
      <w:pPr>
        <w:rPr>
          <w:lang w:val="de-DE"/>
        </w:rPr>
      </w:pPr>
    </w:p>
    <w:p w14:paraId="0F082D0B" w14:textId="34C1994D" w:rsidR="007A3BE1" w:rsidRDefault="007A3BE1" w:rsidP="00C15CD3">
      <w:pPr>
        <w:rPr>
          <w:lang w:val="de-DE"/>
        </w:rPr>
      </w:pPr>
      <w:r>
        <w:rPr>
          <w:lang w:val="de-DE"/>
        </w:rPr>
        <w:t xml:space="preserve">Über Anträge zu nicht gehörig angekündigten Verhandlungsgegenständen können keine Beschlüsse gefasst werden; ausgenommen sind Anträge auf Einberufung einer </w:t>
      </w:r>
      <w:proofErr w:type="spellStart"/>
      <w:r>
        <w:rPr>
          <w:lang w:val="de-DE"/>
        </w:rPr>
        <w:t>ausserorden</w:t>
      </w:r>
      <w:r w:rsidR="003A6E07">
        <w:rPr>
          <w:lang w:val="de-DE"/>
        </w:rPr>
        <w:t>tlichen</w:t>
      </w:r>
      <w:proofErr w:type="spellEnd"/>
      <w:r w:rsidR="003A6E07">
        <w:rPr>
          <w:lang w:val="de-DE"/>
        </w:rPr>
        <w:t xml:space="preserve"> Generalversammlung, </w:t>
      </w:r>
      <w:r>
        <w:rPr>
          <w:lang w:val="de-DE"/>
        </w:rPr>
        <w:t>auf Durchführung einer Sonder</w:t>
      </w:r>
      <w:r w:rsidR="00B51674">
        <w:rPr>
          <w:lang w:val="de-DE"/>
        </w:rPr>
        <w:t>untersuchung</w:t>
      </w:r>
      <w:r w:rsidR="003A6E07">
        <w:rPr>
          <w:lang w:val="de-DE"/>
        </w:rPr>
        <w:t xml:space="preserve"> und auf Wahl einer Revisionsstelle</w:t>
      </w:r>
      <w:r>
        <w:rPr>
          <w:lang w:val="de-DE"/>
        </w:rPr>
        <w:t>.</w:t>
      </w:r>
    </w:p>
    <w:p w14:paraId="47B4B71E" w14:textId="77777777" w:rsidR="007A3BE1" w:rsidRDefault="007A3BE1" w:rsidP="00C15CD3">
      <w:pPr>
        <w:pStyle w:val="Fuzeile"/>
        <w:tabs>
          <w:tab w:val="clear" w:pos="4536"/>
          <w:tab w:val="clear" w:pos="9072"/>
        </w:tabs>
        <w:rPr>
          <w:lang w:val="de-DE"/>
        </w:rPr>
      </w:pPr>
    </w:p>
    <w:p w14:paraId="7A59AC9B" w14:textId="77777777" w:rsidR="007A3BE1" w:rsidRDefault="007A3BE1" w:rsidP="00C15CD3">
      <w:pPr>
        <w:pStyle w:val="berschrift3"/>
      </w:pPr>
      <w:r>
        <w:lastRenderedPageBreak/>
        <w:t>Artikel 10 – Universalversammlung</w:t>
      </w:r>
    </w:p>
    <w:p w14:paraId="5D3FBB3B" w14:textId="7D69F5F6" w:rsidR="007A3BE1" w:rsidRDefault="007A3BE1" w:rsidP="00C15CD3">
      <w:pPr>
        <w:rPr>
          <w:lang w:val="de-DE"/>
        </w:rPr>
      </w:pPr>
      <w:r>
        <w:rPr>
          <w:lang w:val="de-DE"/>
        </w:rPr>
        <w:t xml:space="preserve">Die Eigentümer oder Vertreter sämtlicher Aktien können, falls kein Widerspruch erhoben wird, eine Generalversammlung ohne Einhaltung der für die Einberufung </w:t>
      </w:r>
      <w:r w:rsidR="00FD4FCC">
        <w:rPr>
          <w:lang w:val="de-DE"/>
        </w:rPr>
        <w:t>geltenden V</w:t>
      </w:r>
      <w:r>
        <w:rPr>
          <w:lang w:val="de-DE"/>
        </w:rPr>
        <w:t>orschriften abhalten.</w:t>
      </w:r>
    </w:p>
    <w:p w14:paraId="70FEA943" w14:textId="77777777" w:rsidR="007A3BE1" w:rsidRDefault="007A3BE1" w:rsidP="00C15CD3">
      <w:pPr>
        <w:rPr>
          <w:lang w:val="de-DE"/>
        </w:rPr>
      </w:pPr>
    </w:p>
    <w:p w14:paraId="74B05F94" w14:textId="650DE217" w:rsidR="007A3BE1" w:rsidRDefault="007A3BE1" w:rsidP="00C15CD3">
      <w:pPr>
        <w:rPr>
          <w:lang w:val="de-DE"/>
        </w:rPr>
      </w:pPr>
      <w:r>
        <w:rPr>
          <w:lang w:val="de-DE"/>
        </w:rPr>
        <w:t xml:space="preserve">In dieser Versammlung kann über alle in den Geschäftskreis der Generalversammlung fallenden Gegenstände gültig verhandelt und Beschluss gefasst werden, solange die Eigentümer oder Vertreter sämtlicher Aktien </w:t>
      </w:r>
      <w:r w:rsidR="00F76E65">
        <w:rPr>
          <w:lang w:val="de-DE"/>
        </w:rPr>
        <w:t>daran teilnehmen</w:t>
      </w:r>
      <w:r>
        <w:rPr>
          <w:lang w:val="de-DE"/>
        </w:rPr>
        <w:t>.</w:t>
      </w:r>
    </w:p>
    <w:p w14:paraId="2D4FB4DE" w14:textId="77777777" w:rsidR="006A09D8" w:rsidRDefault="006A09D8" w:rsidP="00C15CD3">
      <w:pPr>
        <w:autoSpaceDE w:val="0"/>
        <w:autoSpaceDN w:val="0"/>
        <w:adjustRightInd w:val="0"/>
        <w:rPr>
          <w:lang w:val="de-DE"/>
        </w:rPr>
      </w:pPr>
    </w:p>
    <w:p w14:paraId="112C24E2" w14:textId="12EB481D" w:rsidR="006A09D8" w:rsidRDefault="006A09D8" w:rsidP="00C15CD3">
      <w:pPr>
        <w:rPr>
          <w:lang w:val="de-DE"/>
        </w:rPr>
      </w:pPr>
      <w:r w:rsidRPr="00E90522">
        <w:rPr>
          <w:lang w:val="de-DE"/>
        </w:rPr>
        <w:t>Eine Generalversammlung kann ebenfalls ohne Einhaltung der für</w:t>
      </w:r>
      <w:r>
        <w:rPr>
          <w:lang w:val="de-DE"/>
        </w:rPr>
        <w:t xml:space="preserve"> </w:t>
      </w:r>
      <w:r w:rsidRPr="00E90522">
        <w:rPr>
          <w:lang w:val="de-DE"/>
        </w:rPr>
        <w:t>die Einberufung geltenden Vorschriften abgehalten werden, wenn di</w:t>
      </w:r>
      <w:r w:rsidRPr="006A09D8">
        <w:rPr>
          <w:lang w:val="de-DE"/>
        </w:rPr>
        <w:t xml:space="preserve">e </w:t>
      </w:r>
      <w:r w:rsidRPr="00E90522">
        <w:rPr>
          <w:lang w:val="de-DE"/>
        </w:rPr>
        <w:t>Beschlüsse auf schriftlichem Weg auf Papier oder in elektronischer</w:t>
      </w:r>
      <w:r>
        <w:rPr>
          <w:lang w:val="de-DE"/>
        </w:rPr>
        <w:t xml:space="preserve"> </w:t>
      </w:r>
      <w:r w:rsidRPr="00E90522">
        <w:rPr>
          <w:lang w:val="de-DE"/>
        </w:rPr>
        <w:t>Form erfolgen, sofern nicht ein Aktionär oder dessen Vertreter die</w:t>
      </w:r>
      <w:r w:rsidR="00AB1BB3">
        <w:rPr>
          <w:lang w:val="de-DE"/>
        </w:rPr>
        <w:t xml:space="preserve"> </w:t>
      </w:r>
      <w:r w:rsidRPr="00E90522">
        <w:rPr>
          <w:lang w:val="de-DE"/>
        </w:rPr>
        <w:t>mündliche Beratung verlangt</w:t>
      </w:r>
      <w:r w:rsidR="00E10ACC">
        <w:rPr>
          <w:lang w:val="de-DE"/>
        </w:rPr>
        <w:t>.</w:t>
      </w:r>
    </w:p>
    <w:p w14:paraId="520F591A" w14:textId="562C6C59" w:rsidR="00305D78" w:rsidRDefault="00305D78" w:rsidP="00C15CD3">
      <w:pPr>
        <w:pStyle w:val="berschrift3"/>
        <w:rPr>
          <w:lang w:val="de-DE"/>
        </w:rPr>
      </w:pPr>
      <w:r w:rsidRPr="00277811">
        <w:rPr>
          <w:lang w:val="de-DE"/>
        </w:rPr>
        <w:t>Art</w:t>
      </w:r>
      <w:r w:rsidR="00E7481D">
        <w:rPr>
          <w:lang w:val="de-DE"/>
        </w:rPr>
        <w:t>ikel</w:t>
      </w:r>
      <w:r w:rsidRPr="00277811">
        <w:rPr>
          <w:lang w:val="de-DE"/>
        </w:rPr>
        <w:t xml:space="preserve"> 11</w:t>
      </w:r>
      <w:r w:rsidR="00F54BD5">
        <w:t xml:space="preserve"> – </w:t>
      </w:r>
      <w:r w:rsidRPr="00E90522">
        <w:t>Tagungsort</w:t>
      </w:r>
    </w:p>
    <w:p w14:paraId="31DA1B67" w14:textId="77777777" w:rsidR="00305D78" w:rsidRDefault="00305D78" w:rsidP="00C15CD3">
      <w:pPr>
        <w:rPr>
          <w:lang w:val="de-DE"/>
        </w:rPr>
      </w:pPr>
      <w:r>
        <w:rPr>
          <w:lang w:val="de-DE"/>
        </w:rPr>
        <w:t>Der Verwaltungsrat bestimmt den Tagungsort der Generalversammlung.</w:t>
      </w:r>
    </w:p>
    <w:p w14:paraId="175A19E9" w14:textId="77777777" w:rsidR="00957D46" w:rsidRDefault="00957D46" w:rsidP="00C15CD3">
      <w:pPr>
        <w:rPr>
          <w:lang w:val="de-DE"/>
        </w:rPr>
      </w:pPr>
    </w:p>
    <w:p w14:paraId="76A0AACD" w14:textId="77777777" w:rsidR="00957D46" w:rsidRDefault="00957D46" w:rsidP="00C15CD3">
      <w:pPr>
        <w:rPr>
          <w:lang w:val="de-DE"/>
        </w:rPr>
      </w:pPr>
      <w:r>
        <w:rPr>
          <w:lang w:val="de-DE"/>
        </w:rPr>
        <w:t>Durch die Festlegung des Tagungsortes darf für keinen Aktionär die Ausübung seiner Rechte im Zusammenhang mit der Generalversammlung in unsachlicher Weise erschwert werden.</w:t>
      </w:r>
    </w:p>
    <w:p w14:paraId="0CC56C4B" w14:textId="77777777" w:rsidR="00957D46" w:rsidRDefault="00957D46" w:rsidP="00C15CD3">
      <w:pPr>
        <w:rPr>
          <w:lang w:val="de-DE"/>
        </w:rPr>
      </w:pPr>
    </w:p>
    <w:p w14:paraId="0CD8296E" w14:textId="4BEA3182" w:rsidR="00957D46" w:rsidRDefault="00957D46" w:rsidP="00C15CD3">
      <w:pPr>
        <w:rPr>
          <w:lang w:val="de-DE"/>
        </w:rPr>
      </w:pPr>
      <w:r>
        <w:rPr>
          <w:lang w:val="de-DE"/>
        </w:rPr>
        <w:t xml:space="preserve">Die Generalversammlung kann an verschiedenen Orten gleichzeitig durchgeführt werden. Die Voten der Teilnehmer müssen in diesem Fall unmittelbar in Bild und </w:t>
      </w:r>
      <w:r w:rsidR="00BE62E8">
        <w:rPr>
          <w:lang w:val="de-DE"/>
        </w:rPr>
        <w:t>T</w:t>
      </w:r>
      <w:r>
        <w:rPr>
          <w:lang w:val="de-DE"/>
        </w:rPr>
        <w:t>on an sämtliche Tagungsorte übertragen werden.</w:t>
      </w:r>
    </w:p>
    <w:p w14:paraId="5BBA0C91" w14:textId="77777777" w:rsidR="00957D46" w:rsidRDefault="00957D46" w:rsidP="00C15CD3">
      <w:pPr>
        <w:rPr>
          <w:lang w:val="de-DE"/>
        </w:rPr>
      </w:pPr>
    </w:p>
    <w:p w14:paraId="0B810BF1" w14:textId="6CBF8D29" w:rsidR="00957D46" w:rsidRDefault="00957D46" w:rsidP="00C15CD3">
      <w:pPr>
        <w:rPr>
          <w:lang w:val="de-DE"/>
        </w:rPr>
      </w:pPr>
      <w:r>
        <w:rPr>
          <w:lang w:val="de-DE"/>
        </w:rPr>
        <w:t>Die Generalversammlung kann im Ausland durchgeführt werden, wenn der Verwaltungsrat in der Einberufung einen unabhängigen Stimmrechtsvertreter bezeichnet. Der Verwaltungsrat kann auf die Bezeichnung eines unabhängigen Stimmrechtsvertreters verzichten, sofern alle Aktionäre damit einverstanden sind.</w:t>
      </w:r>
    </w:p>
    <w:p w14:paraId="0B975BB4" w14:textId="083960C0" w:rsidR="009303C2" w:rsidRDefault="009303C2" w:rsidP="00C15CD3">
      <w:pPr>
        <w:rPr>
          <w:lang w:val="de-DE"/>
        </w:rPr>
      </w:pPr>
    </w:p>
    <w:p w14:paraId="1C415B1A" w14:textId="78FC2C77" w:rsidR="009303C2" w:rsidRDefault="009303C2" w:rsidP="00C15CD3">
      <w:pPr>
        <w:rPr>
          <w:lang w:val="de-DE"/>
        </w:rPr>
      </w:pPr>
      <w:r>
        <w:rPr>
          <w:lang w:val="de-DE"/>
        </w:rPr>
        <w:t>Der Verwaltungsrat kann vorsehen, dass Aktionäre, die nicht am Ort der Generalversammlung anwesend sind, ihre Rechte auf elektronischem Weg ausüben können.</w:t>
      </w:r>
    </w:p>
    <w:p w14:paraId="70B3DA4A" w14:textId="727A3193" w:rsidR="001D41E9" w:rsidRDefault="00A5607A" w:rsidP="00C15CD3">
      <w:pPr>
        <w:pStyle w:val="berschrift3"/>
      </w:pPr>
      <w:r>
        <w:t>Artikel 1</w:t>
      </w:r>
      <w:r w:rsidR="00957D46">
        <w:t>2</w:t>
      </w:r>
      <w:r>
        <w:t xml:space="preserve"> </w:t>
      </w:r>
      <w:r w:rsidR="00BD6875">
        <w:t>–</w:t>
      </w:r>
      <w:r>
        <w:t xml:space="preserve"> </w:t>
      </w:r>
      <w:r w:rsidR="001D41E9">
        <w:t>virtuelle Generalversammlung</w:t>
      </w:r>
    </w:p>
    <w:p w14:paraId="3ECA3C7F" w14:textId="5BAA814A" w:rsidR="002A3013" w:rsidRDefault="002A3013" w:rsidP="00C15CD3">
      <w:r>
        <w:t>Eine Generalversammlung kann mit elektronis</w:t>
      </w:r>
      <w:r w:rsidR="00461757">
        <w:t>chen Mitteln ohne Tagungsort dur</w:t>
      </w:r>
      <w:r>
        <w:t>chgeführt werden. Auf die Bezeichnung ein</w:t>
      </w:r>
      <w:r w:rsidR="00AD2E9E">
        <w:t>es unabhängigen Stimmrechtsvert</w:t>
      </w:r>
      <w:r>
        <w:t xml:space="preserve">reters </w:t>
      </w:r>
      <w:r w:rsidR="0027579A">
        <w:t>kann</w:t>
      </w:r>
      <w:r w:rsidR="002E64D9">
        <w:t xml:space="preserve"> verzichtet</w:t>
      </w:r>
      <w:r w:rsidR="0027579A">
        <w:t xml:space="preserve"> werden</w:t>
      </w:r>
      <w:bookmarkStart w:id="0" w:name="_GoBack"/>
      <w:bookmarkEnd w:id="0"/>
      <w:r w:rsidR="002E64D9">
        <w:t>.</w:t>
      </w:r>
    </w:p>
    <w:p w14:paraId="6F7FB877" w14:textId="77777777" w:rsidR="00E063D5" w:rsidRDefault="00E063D5" w:rsidP="00C15CD3"/>
    <w:p w14:paraId="4F7B6823" w14:textId="77777777" w:rsidR="00E1797F" w:rsidRDefault="005C7C98" w:rsidP="00C15CD3">
      <w:pPr>
        <w:pStyle w:val="Textkrper-Zeileneinzug"/>
      </w:pPr>
      <w:r>
        <w:t>Der Verwaltungsrat regelt die Verwendung elektronischer Mittel. Er stellt sicher, dass</w:t>
      </w:r>
    </w:p>
    <w:p w14:paraId="6856C67E" w14:textId="77777777" w:rsidR="00E1797F" w:rsidRDefault="00E063D5" w:rsidP="00C15CD3">
      <w:pPr>
        <w:pStyle w:val="Textkrper-Zeileneinzug"/>
        <w:numPr>
          <w:ilvl w:val="0"/>
          <w:numId w:val="13"/>
        </w:numPr>
        <w:ind w:left="567" w:hanging="567"/>
      </w:pPr>
      <w:r>
        <w:t>d</w:t>
      </w:r>
      <w:r w:rsidR="005C7C98">
        <w:t>ie Identität der Teilnehmer feststeht;</w:t>
      </w:r>
    </w:p>
    <w:p w14:paraId="355E8402" w14:textId="77777777" w:rsidR="00E1797F" w:rsidRDefault="00E063D5" w:rsidP="00C15CD3">
      <w:pPr>
        <w:pStyle w:val="Textkrper-Zeileneinzug"/>
        <w:numPr>
          <w:ilvl w:val="0"/>
          <w:numId w:val="13"/>
        </w:numPr>
        <w:ind w:left="567" w:hanging="567"/>
      </w:pPr>
      <w:r>
        <w:t>d</w:t>
      </w:r>
      <w:r w:rsidR="005C7C98">
        <w:t>ie Voten in der Generalversammlung unmittelbar übertragen werden;</w:t>
      </w:r>
    </w:p>
    <w:p w14:paraId="2B5B1BDC" w14:textId="77777777" w:rsidR="00E1797F" w:rsidRDefault="00E063D5" w:rsidP="00C15CD3">
      <w:pPr>
        <w:pStyle w:val="Textkrper-Zeileneinzug"/>
        <w:numPr>
          <w:ilvl w:val="0"/>
          <w:numId w:val="13"/>
        </w:numPr>
        <w:ind w:left="567" w:hanging="567"/>
      </w:pPr>
      <w:r>
        <w:t>j</w:t>
      </w:r>
      <w:r w:rsidR="005C7C98">
        <w:t>eder Teilnehmer Anträge stellen und sich an der Diskussion beteiligen kann;</w:t>
      </w:r>
    </w:p>
    <w:p w14:paraId="7FE7A5A0" w14:textId="77777777" w:rsidR="00E1797F" w:rsidRDefault="00E063D5" w:rsidP="00C15CD3">
      <w:pPr>
        <w:pStyle w:val="Textkrper-Zeileneinzug"/>
        <w:numPr>
          <w:ilvl w:val="0"/>
          <w:numId w:val="13"/>
        </w:numPr>
        <w:ind w:left="567" w:hanging="567"/>
      </w:pPr>
      <w:r>
        <w:t>d</w:t>
      </w:r>
      <w:r w:rsidR="005C7C98">
        <w:t>as Abstimmungsergebnis nicht verfälscht werden kann.</w:t>
      </w:r>
    </w:p>
    <w:p w14:paraId="0A78AFF7" w14:textId="0D9CD112" w:rsidR="005C7C98" w:rsidRPr="002A3013" w:rsidRDefault="005C7C98" w:rsidP="00C15CD3">
      <w:pPr>
        <w:pStyle w:val="Textkrper-Zeileneinzug"/>
        <w:ind w:left="0" w:firstLine="0"/>
      </w:pPr>
      <w:r w:rsidRPr="00E90522">
        <w:rPr>
          <w:color w:val="000000"/>
        </w:rPr>
        <w:t>Treten während der Generalversammlung technische Probleme auf,</w:t>
      </w:r>
      <w:r w:rsidR="00E063D5">
        <w:t xml:space="preserve"> </w:t>
      </w:r>
      <w:r w:rsidRPr="00E90522">
        <w:rPr>
          <w:color w:val="000000"/>
        </w:rPr>
        <w:t xml:space="preserve">sodass die Generalversammlung nicht </w:t>
      </w:r>
      <w:proofErr w:type="spellStart"/>
      <w:r w:rsidRPr="00E90522">
        <w:rPr>
          <w:color w:val="000000"/>
        </w:rPr>
        <w:t>ordnungsgemäss</w:t>
      </w:r>
      <w:proofErr w:type="spellEnd"/>
      <w:r w:rsidRPr="00E90522">
        <w:rPr>
          <w:color w:val="000000"/>
        </w:rPr>
        <w:t xml:space="preserve"> durchgeführt</w:t>
      </w:r>
      <w:r w:rsidR="00E063D5">
        <w:t xml:space="preserve"> </w:t>
      </w:r>
      <w:r w:rsidRPr="00E90522">
        <w:rPr>
          <w:color w:val="000000"/>
        </w:rPr>
        <w:t>werden kann, so muss sie wiederholt werden.</w:t>
      </w:r>
      <w:r w:rsidR="00E063D5">
        <w:t xml:space="preserve"> </w:t>
      </w:r>
      <w:r w:rsidRPr="00E90522">
        <w:rPr>
          <w:color w:val="000000"/>
        </w:rPr>
        <w:t>Beschlüsse, welche die Generalversammlung vor dem Auftreten der</w:t>
      </w:r>
      <w:r w:rsidR="00E063D5">
        <w:t xml:space="preserve"> </w:t>
      </w:r>
      <w:r w:rsidRPr="00E90522">
        <w:rPr>
          <w:color w:val="000000"/>
        </w:rPr>
        <w:t>technischen Probleme gefasst hat, bleiben gültig</w:t>
      </w:r>
      <w:r w:rsidR="00E1797F">
        <w:t>.</w:t>
      </w:r>
    </w:p>
    <w:p w14:paraId="53034AA8" w14:textId="07E7E7C7" w:rsidR="007A3BE1" w:rsidRPr="00A5607A" w:rsidRDefault="007A3BE1" w:rsidP="00C15CD3">
      <w:pPr>
        <w:pStyle w:val="berschrift3"/>
      </w:pPr>
      <w:r w:rsidRPr="00A5607A">
        <w:lastRenderedPageBreak/>
        <w:t>Artikel 1</w:t>
      </w:r>
      <w:r w:rsidR="00D535B9">
        <w:t>3</w:t>
      </w:r>
      <w:r w:rsidRPr="00A5607A">
        <w:t xml:space="preserve"> – Vorsitz und Protokoll</w:t>
      </w:r>
    </w:p>
    <w:p w14:paraId="4053E426" w14:textId="0FFC6495" w:rsidR="007A3BE1" w:rsidRDefault="007A3BE1" w:rsidP="00C15CD3">
      <w:r>
        <w:t xml:space="preserve">Den Vorsitz in der Generalversammlung führt der Präsident, in dessen Verhinderungsfalle ein anderes vom Verwaltungsrat bestimmtes Mitglied desselben. </w:t>
      </w:r>
      <w:r w:rsidR="00AD7B09">
        <w:t>Nimmt</w:t>
      </w:r>
      <w:r>
        <w:t xml:space="preserve"> kein Mitglied des Verwaltungsrates </w:t>
      </w:r>
      <w:r w:rsidR="00AD7B09">
        <w:t>teil</w:t>
      </w:r>
      <w:r>
        <w:t>, wählt die Generalversammlung einen Tagesvorsitzenden.</w:t>
      </w:r>
    </w:p>
    <w:p w14:paraId="6D646CD4" w14:textId="77777777" w:rsidR="007A3BE1" w:rsidRDefault="007A3BE1" w:rsidP="00C15CD3"/>
    <w:p w14:paraId="40AFF7DA" w14:textId="2A0B4DCA" w:rsidR="007A3BE1" w:rsidRDefault="007A3BE1" w:rsidP="00C15CD3">
      <w:pPr>
        <w:rPr>
          <w:lang w:val="de-DE"/>
        </w:rPr>
      </w:pPr>
      <w:r>
        <w:t xml:space="preserve">Der Vorsitzende bezeichnet den Protokollführer und die Stimmenzähler, die nicht Aktionäre zu sein brauchen. Das Protokoll ist vom Vorsitzenden und vom Protokollführer zu unterzeichnen. </w:t>
      </w:r>
      <w:r w:rsidR="00C2434B">
        <w:t>Jeder Aktionär kann verlangen, dass ihm das Protokoll innerhalb von 30 Tagen nach der Generalversammlung zugänglich gemacht wird.</w:t>
      </w:r>
    </w:p>
    <w:p w14:paraId="7C02AC20" w14:textId="2A5E3FF6" w:rsidR="007A3BE1" w:rsidRDefault="007A3BE1" w:rsidP="00C15CD3">
      <w:pPr>
        <w:pStyle w:val="berschrift3"/>
      </w:pPr>
      <w:r>
        <w:t>Artikel 1</w:t>
      </w:r>
      <w:r w:rsidR="00D535B9">
        <w:t>4</w:t>
      </w:r>
      <w:r>
        <w:t xml:space="preserve"> – Stimmrecht und Vertretung</w:t>
      </w:r>
    </w:p>
    <w:p w14:paraId="0D924CB3" w14:textId="77777777" w:rsidR="007A3BE1" w:rsidRDefault="007A3BE1" w:rsidP="00C15CD3">
      <w:r>
        <w:t>Die Aktionäre üben ihr Stimmrecht in der Generalversammlung nach Verhältnis des gesamten Nennwerts der ihnen gehörenden Aktien aus.</w:t>
      </w:r>
    </w:p>
    <w:p w14:paraId="40953948" w14:textId="77777777" w:rsidR="007A3BE1" w:rsidRDefault="007A3BE1" w:rsidP="00C15CD3"/>
    <w:p w14:paraId="37C35939" w14:textId="2200B86F" w:rsidR="007A3BE1" w:rsidRDefault="00BB0049" w:rsidP="00C15CD3">
      <w:pPr>
        <w:autoSpaceDE w:val="0"/>
        <w:autoSpaceDN w:val="0"/>
        <w:adjustRightInd w:val="0"/>
      </w:pPr>
      <w:r w:rsidRPr="00E90522">
        <w:t>Die Mitgliedschaftsrechte aus Namenaktien kann ausüben, wer durch den Eintrag im Aktienbuch ausgewiesen oder vom Aktionär dazu schriftlich bevollmächtigt ist</w:t>
      </w:r>
      <w:r w:rsidR="00515EBD">
        <w:t>.</w:t>
      </w:r>
    </w:p>
    <w:p w14:paraId="5C429FEB" w14:textId="56EA48D1" w:rsidR="007A3BE1" w:rsidRDefault="007A3BE1" w:rsidP="00C15CD3">
      <w:pPr>
        <w:pStyle w:val="berschrift3"/>
      </w:pPr>
      <w:r>
        <w:t>Artikel 1</w:t>
      </w:r>
      <w:r w:rsidR="00D535B9">
        <w:t>5</w:t>
      </w:r>
      <w:r>
        <w:t xml:space="preserve"> – Beschlussfassung</w:t>
      </w:r>
    </w:p>
    <w:p w14:paraId="02FDEDC4" w14:textId="6C99A68A" w:rsidR="007A3BE1" w:rsidRDefault="007A3BE1" w:rsidP="00C15CD3">
      <w:r>
        <w:rPr>
          <w:lang w:val="de-DE"/>
        </w:rPr>
        <w:t>Die Generalversammlung fasst ihre Beschlüsse und vollzieht ihre Wahlen, soweit das Gesetz oder die Statuten es nicht anders bestimmen, mit der Mehrheit der vertretenen Aktienstimmen</w:t>
      </w:r>
      <w:r>
        <w:t xml:space="preserve">. </w:t>
      </w:r>
      <w:r w:rsidR="000864E4">
        <w:t>Bei Stimmengleichheit hat der Vorsitzende den Stichentscheid.</w:t>
      </w:r>
    </w:p>
    <w:p w14:paraId="62972130" w14:textId="77777777" w:rsidR="007A3BE1" w:rsidRDefault="007A3BE1" w:rsidP="00C15CD3"/>
    <w:p w14:paraId="5AE115FD" w14:textId="5D96E0AF" w:rsidR="007A3BE1" w:rsidRDefault="007A3BE1" w:rsidP="00C15CD3">
      <w:pPr>
        <w:rPr>
          <w:lang w:val="de-DE"/>
        </w:rPr>
      </w:pPr>
      <w:r>
        <w:rPr>
          <w:lang w:val="de-DE"/>
        </w:rPr>
        <w:t>Ein Beschluss der Generalversammlung, der mindestens zwei Drittel der vertretenen Stimmen und die Mehrheit der vertretenen Aktiennennwerte auf sich vereinigt, ist erforderlich für:</w:t>
      </w:r>
    </w:p>
    <w:p w14:paraId="08157CCE" w14:textId="77777777" w:rsidR="007A3BE1" w:rsidRDefault="007A3BE1" w:rsidP="00C15CD3">
      <w:pPr>
        <w:rPr>
          <w:lang w:val="de-DE"/>
        </w:rPr>
      </w:pPr>
    </w:p>
    <w:p w14:paraId="3B61A1E9" w14:textId="003690CA" w:rsidR="007A3BE1" w:rsidRDefault="007A3BE1" w:rsidP="00C15CD3">
      <w:pPr>
        <w:pStyle w:val="Textkrper-Zeileneinzug"/>
        <w:numPr>
          <w:ilvl w:val="0"/>
          <w:numId w:val="12"/>
        </w:numPr>
      </w:pPr>
      <w:r>
        <w:t>die Änderung des Gesellschaftszweckes;</w:t>
      </w:r>
    </w:p>
    <w:p w14:paraId="2B8D2E87" w14:textId="485D487C" w:rsidR="000864E4" w:rsidRDefault="002327A5" w:rsidP="00C15CD3">
      <w:pPr>
        <w:pStyle w:val="Textkrper-Zeileneinzug"/>
        <w:numPr>
          <w:ilvl w:val="0"/>
          <w:numId w:val="12"/>
        </w:numPr>
      </w:pPr>
      <w:r>
        <w:t>d</w:t>
      </w:r>
      <w:r w:rsidR="000864E4">
        <w:t>ie Zusammenlegung von Aktien, soweit dafür nicht die Zustimmung aller betroffenen Aktionäre erforderlich ist</w:t>
      </w:r>
      <w:r w:rsidR="00515EBD">
        <w:t>;</w:t>
      </w:r>
    </w:p>
    <w:p w14:paraId="623EC470" w14:textId="77777777" w:rsidR="000864E4" w:rsidRDefault="002327A5" w:rsidP="00C15CD3">
      <w:pPr>
        <w:pStyle w:val="Textkrper-Zeileneinzug"/>
        <w:numPr>
          <w:ilvl w:val="0"/>
          <w:numId w:val="12"/>
        </w:numPr>
      </w:pPr>
      <w:r>
        <w:t>d</w:t>
      </w:r>
      <w:r w:rsidR="000864E4">
        <w:t>ie Kapitalerhöhung aus Eigenkapital, gegen Sacheinlagen oder durch Verrechnung mit einer Forderung und Gewäh</w:t>
      </w:r>
      <w:r>
        <w:t>r</w:t>
      </w:r>
      <w:r w:rsidR="000864E4">
        <w:t>ung von besonderen Vorteilen</w:t>
      </w:r>
      <w:r w:rsidR="003D2E25">
        <w:t>;</w:t>
      </w:r>
    </w:p>
    <w:p w14:paraId="1D02DCE6" w14:textId="77777777" w:rsidR="003D2E25" w:rsidRDefault="002327A5" w:rsidP="00C15CD3">
      <w:pPr>
        <w:pStyle w:val="Textkrper-Zeileneinzug"/>
        <w:numPr>
          <w:ilvl w:val="0"/>
          <w:numId w:val="12"/>
        </w:numPr>
      </w:pPr>
      <w:r>
        <w:t>d</w:t>
      </w:r>
      <w:r w:rsidR="003D2E25">
        <w:t>ie Einschränkung oder Aufhebung des Bezugsrechts;</w:t>
      </w:r>
    </w:p>
    <w:p w14:paraId="11E11FBA" w14:textId="77777777" w:rsidR="003D2E25" w:rsidRDefault="002327A5" w:rsidP="00C15CD3">
      <w:pPr>
        <w:pStyle w:val="Textkrper-Zeileneinzug"/>
        <w:numPr>
          <w:ilvl w:val="0"/>
          <w:numId w:val="12"/>
        </w:numPr>
      </w:pPr>
      <w:r>
        <w:t>d</w:t>
      </w:r>
      <w:r w:rsidR="003D2E25">
        <w:t>ie Einführung eines bedingten Kapitals oder die Einführung eines Kapitalbands;</w:t>
      </w:r>
    </w:p>
    <w:p w14:paraId="048AD095" w14:textId="77777777" w:rsidR="003D2E25" w:rsidRDefault="002327A5" w:rsidP="00C15CD3">
      <w:pPr>
        <w:pStyle w:val="Textkrper-Zeileneinzug"/>
        <w:numPr>
          <w:ilvl w:val="0"/>
          <w:numId w:val="12"/>
        </w:numPr>
      </w:pPr>
      <w:r>
        <w:t>d</w:t>
      </w:r>
      <w:r w:rsidR="003D2E25">
        <w:t>ie Umwandlung von Partizipationsscheinen in Aktien;</w:t>
      </w:r>
    </w:p>
    <w:p w14:paraId="5C708578" w14:textId="77777777" w:rsidR="003D2E25" w:rsidRDefault="002327A5" w:rsidP="00C15CD3">
      <w:pPr>
        <w:pStyle w:val="Textkrper-Zeileneinzug"/>
        <w:numPr>
          <w:ilvl w:val="0"/>
          <w:numId w:val="12"/>
        </w:numPr>
      </w:pPr>
      <w:r>
        <w:t>d</w:t>
      </w:r>
      <w:r w:rsidR="003D2E25">
        <w:t>ie Beschränkung der Übertragbarkeit von Namenaktien;</w:t>
      </w:r>
    </w:p>
    <w:p w14:paraId="63BD4647" w14:textId="77777777" w:rsidR="003D2E25" w:rsidRDefault="002327A5" w:rsidP="00C15CD3">
      <w:pPr>
        <w:pStyle w:val="Textkrper-Zeileneinzug"/>
        <w:numPr>
          <w:ilvl w:val="0"/>
          <w:numId w:val="12"/>
        </w:numPr>
      </w:pPr>
      <w:r>
        <w:t>d</w:t>
      </w:r>
      <w:r w:rsidR="003D2E25">
        <w:t>ie Einführung von Stimmrechtsaktien;</w:t>
      </w:r>
    </w:p>
    <w:p w14:paraId="6F3DEB08" w14:textId="77777777" w:rsidR="003D2E25" w:rsidRDefault="002327A5" w:rsidP="00C15CD3">
      <w:pPr>
        <w:pStyle w:val="Textkrper-Zeileneinzug"/>
        <w:numPr>
          <w:ilvl w:val="0"/>
          <w:numId w:val="12"/>
        </w:numPr>
      </w:pPr>
      <w:r>
        <w:t>d</w:t>
      </w:r>
      <w:r w:rsidR="003D2E25">
        <w:t>en Wechsel der Währung des Aktienkapitals;</w:t>
      </w:r>
    </w:p>
    <w:p w14:paraId="356E788F" w14:textId="77777777" w:rsidR="003D2E25" w:rsidRDefault="002327A5" w:rsidP="00C15CD3">
      <w:pPr>
        <w:pStyle w:val="Textkrper-Zeileneinzug"/>
        <w:numPr>
          <w:ilvl w:val="0"/>
          <w:numId w:val="12"/>
        </w:numPr>
      </w:pPr>
      <w:r>
        <w:t>d</w:t>
      </w:r>
      <w:r w:rsidR="00545D83">
        <w:t>ie Einführung des Stichentscheids des Vorsitzenden in der Generalversammlung;</w:t>
      </w:r>
    </w:p>
    <w:p w14:paraId="6A13DA17" w14:textId="77777777" w:rsidR="00545D83" w:rsidRDefault="002327A5" w:rsidP="00C15CD3">
      <w:pPr>
        <w:pStyle w:val="Textkrper-Zeileneinzug"/>
        <w:numPr>
          <w:ilvl w:val="0"/>
          <w:numId w:val="12"/>
        </w:numPr>
      </w:pPr>
      <w:r>
        <w:t>e</w:t>
      </w:r>
      <w:r w:rsidR="00545D83">
        <w:t>ine Statutenbestimmung zur Durchführung der Generalversammlung im Ausland;</w:t>
      </w:r>
    </w:p>
    <w:p w14:paraId="7875F4C8" w14:textId="77777777" w:rsidR="00E40A6A" w:rsidRDefault="00E40A6A" w:rsidP="00C15CD3">
      <w:pPr>
        <w:pStyle w:val="Textkrper-Zeileneinzug"/>
        <w:numPr>
          <w:ilvl w:val="0"/>
          <w:numId w:val="12"/>
        </w:numPr>
      </w:pPr>
      <w:r>
        <w:t>die Verlegung des Sitzes der Gesellschaft;</w:t>
      </w:r>
    </w:p>
    <w:p w14:paraId="603C9B22" w14:textId="77777777" w:rsidR="00E40A6A" w:rsidRDefault="00E40A6A" w:rsidP="00C15CD3">
      <w:pPr>
        <w:pStyle w:val="Textkrper-Zeileneinzug"/>
        <w:numPr>
          <w:ilvl w:val="0"/>
          <w:numId w:val="12"/>
        </w:numPr>
      </w:pPr>
      <w:r>
        <w:t>die Einführung einer statutarischen Schiedsklausel;</w:t>
      </w:r>
    </w:p>
    <w:p w14:paraId="5F60F73B" w14:textId="77777777" w:rsidR="00545D83" w:rsidRDefault="002327A5" w:rsidP="00C15CD3">
      <w:pPr>
        <w:pStyle w:val="Textkrper-Zeileneinzug"/>
        <w:numPr>
          <w:ilvl w:val="0"/>
          <w:numId w:val="12"/>
        </w:numPr>
      </w:pPr>
      <w:r>
        <w:t>d</w:t>
      </w:r>
      <w:r w:rsidR="00545D83">
        <w:t xml:space="preserve">er Verzicht auf die Bezeichnung eines unabhängigen Stimmrechtsvertreters für die Durchführung einer virtuellen Generalversammlung bei Gesellschaften, deren </w:t>
      </w:r>
      <w:r w:rsidR="002A454E">
        <w:t>Aktien nicht an einer Börse kotiert sind;</w:t>
      </w:r>
    </w:p>
    <w:p w14:paraId="25F988D2" w14:textId="77777777" w:rsidR="002A454E" w:rsidRDefault="002327A5" w:rsidP="00C15CD3">
      <w:pPr>
        <w:pStyle w:val="Textkrper-Zeileneinzug"/>
        <w:numPr>
          <w:ilvl w:val="0"/>
          <w:numId w:val="12"/>
        </w:numPr>
      </w:pPr>
      <w:r>
        <w:t>d</w:t>
      </w:r>
      <w:r w:rsidR="002A454E">
        <w:t>ie Auflösung der</w:t>
      </w:r>
      <w:r w:rsidR="009966CF">
        <w:t xml:space="preserve"> Gesellschaft.</w:t>
      </w:r>
    </w:p>
    <w:p w14:paraId="16FC944C" w14:textId="79ECB0BC" w:rsidR="007A3BE1" w:rsidRDefault="007A3BE1" w:rsidP="00C15CD3">
      <w:pPr>
        <w:rPr>
          <w:lang w:val="de-DE"/>
        </w:rPr>
      </w:pPr>
      <w:r>
        <w:rPr>
          <w:lang w:val="de-DE"/>
        </w:rPr>
        <w:lastRenderedPageBreak/>
        <w:t xml:space="preserve">Statutenbestimmungen, die für die Fassung bestimmter Beschlüsse </w:t>
      </w:r>
      <w:proofErr w:type="spellStart"/>
      <w:r>
        <w:rPr>
          <w:lang w:val="de-DE"/>
        </w:rPr>
        <w:t>grössere</w:t>
      </w:r>
      <w:proofErr w:type="spellEnd"/>
      <w:r>
        <w:rPr>
          <w:lang w:val="de-DE"/>
        </w:rPr>
        <w:t xml:space="preserve"> Mehrheiten als die vom Gesetz vorgeschriebenen festlegen, können nur mit dem </w:t>
      </w:r>
      <w:r w:rsidR="002813B5">
        <w:rPr>
          <w:lang w:val="de-DE"/>
        </w:rPr>
        <w:t>vorgesehenen</w:t>
      </w:r>
      <w:r>
        <w:rPr>
          <w:lang w:val="de-DE"/>
        </w:rPr>
        <w:t xml:space="preserve"> Mehr eingeführt</w:t>
      </w:r>
      <w:r w:rsidR="002813B5">
        <w:rPr>
          <w:lang w:val="de-DE"/>
        </w:rPr>
        <w:t>, geändert</w:t>
      </w:r>
      <w:r>
        <w:rPr>
          <w:lang w:val="de-DE"/>
        </w:rPr>
        <w:t xml:space="preserve"> </w:t>
      </w:r>
      <w:r w:rsidR="002813B5">
        <w:rPr>
          <w:lang w:val="de-DE"/>
        </w:rPr>
        <w:t>oder</w:t>
      </w:r>
      <w:r>
        <w:rPr>
          <w:lang w:val="de-DE"/>
        </w:rPr>
        <w:t xml:space="preserve"> aufgehoben werden.</w:t>
      </w:r>
    </w:p>
    <w:p w14:paraId="72D1F6BB" w14:textId="77777777" w:rsidR="007A3BE1" w:rsidRDefault="007A3BE1" w:rsidP="00C15CD3">
      <w:pPr>
        <w:pStyle w:val="berschrift3"/>
      </w:pPr>
      <w:r>
        <w:t>B.</w:t>
      </w:r>
      <w:r>
        <w:tab/>
        <w:t xml:space="preserve">Verwaltungsrat </w:t>
      </w:r>
    </w:p>
    <w:p w14:paraId="7BF35CF1" w14:textId="5D5AB825" w:rsidR="007A3BE1" w:rsidRDefault="007A3BE1" w:rsidP="00C15CD3">
      <w:pPr>
        <w:pStyle w:val="berschrift3"/>
      </w:pPr>
      <w:r>
        <w:t>Artikel 1</w:t>
      </w:r>
      <w:r w:rsidR="00D535B9">
        <w:t>6</w:t>
      </w:r>
      <w:r>
        <w:t xml:space="preserve"> – Wahl und Zusammensetzung</w:t>
      </w:r>
    </w:p>
    <w:p w14:paraId="424170E1" w14:textId="7C573F4D" w:rsidR="007A3BE1" w:rsidRDefault="007A3BE1" w:rsidP="00C15CD3">
      <w:r>
        <w:rPr>
          <w:lang w:val="de-DE"/>
        </w:rPr>
        <w:t>Der Verwaltungsrat der Gesellschaft besteht aus einem od</w:t>
      </w:r>
      <w:r w:rsidR="003A6E07">
        <w:rPr>
          <w:lang w:val="de-DE"/>
        </w:rPr>
        <w:t>er mehreren Mitgliedern</w:t>
      </w:r>
      <w:r>
        <w:rPr>
          <w:lang w:val="de-DE"/>
        </w:rPr>
        <w:t>.</w:t>
      </w:r>
    </w:p>
    <w:p w14:paraId="63942DCB" w14:textId="77777777" w:rsidR="007A3BE1" w:rsidRDefault="007A3BE1" w:rsidP="00C15CD3"/>
    <w:p w14:paraId="46ADBE94" w14:textId="20B6FD88" w:rsidR="007A3BE1" w:rsidRDefault="007A3BE1" w:rsidP="00C15CD3">
      <w:pPr>
        <w:rPr>
          <w:lang w:val="de-DE"/>
        </w:rPr>
      </w:pPr>
      <w:r>
        <w:rPr>
          <w:lang w:val="de-DE"/>
        </w:rPr>
        <w:t>Die Mitglieder des Verwaltungsrates werden auf drei Jahre gewählt. Neugewählte treten in die Amtsdauer derjenigen Mitglieder ein, die sie ersetzen.</w:t>
      </w:r>
    </w:p>
    <w:p w14:paraId="12751AF2" w14:textId="77777777" w:rsidR="007A3BE1" w:rsidRDefault="007A3BE1" w:rsidP="00C15CD3">
      <w:pPr>
        <w:rPr>
          <w:lang w:val="de-DE"/>
        </w:rPr>
      </w:pPr>
    </w:p>
    <w:p w14:paraId="31976DF6" w14:textId="77777777" w:rsidR="007A3BE1" w:rsidRDefault="007A3BE1" w:rsidP="00C15CD3">
      <w:pPr>
        <w:rPr>
          <w:lang w:val="de-DE"/>
        </w:rPr>
      </w:pPr>
      <w:r>
        <w:rPr>
          <w:lang w:val="de-DE"/>
        </w:rPr>
        <w:t xml:space="preserve">Der Verwaltungsrat </w:t>
      </w:r>
      <w:r>
        <w:t>konstituiert sich selbst</w:t>
      </w:r>
      <w:r>
        <w:rPr>
          <w:lang w:val="de-DE"/>
        </w:rPr>
        <w:t>. Er bezeichnet seinen Präsidenten und den Sekretär. Dieser muss dem Verwaltungsrat nicht angehören.</w:t>
      </w:r>
    </w:p>
    <w:p w14:paraId="19624B1D" w14:textId="6B726F55" w:rsidR="007A3BE1" w:rsidRDefault="007A3BE1" w:rsidP="00C15CD3">
      <w:pPr>
        <w:pStyle w:val="berschrift3"/>
      </w:pPr>
      <w:r>
        <w:t>Artikel 1</w:t>
      </w:r>
      <w:r w:rsidR="00D535B9">
        <w:t>7</w:t>
      </w:r>
      <w:r>
        <w:t xml:space="preserve"> – Sitzungen und Beschlussfassung</w:t>
      </w:r>
    </w:p>
    <w:p w14:paraId="6AE85BB8" w14:textId="77777777" w:rsidR="007A3BE1" w:rsidRDefault="007A3BE1" w:rsidP="00C15CD3">
      <w:pPr>
        <w:rPr>
          <w:lang w:val="de-DE"/>
        </w:rPr>
      </w:pPr>
      <w:r>
        <w:rPr>
          <w:lang w:val="de-DE"/>
        </w:rPr>
        <w:t>Beschlussfähigkeit, Beschlussfassung und Geschäftsordnung werden im Organisationsreglement geregelt.</w:t>
      </w:r>
    </w:p>
    <w:p w14:paraId="6F1386EB" w14:textId="77777777" w:rsidR="007A3BE1" w:rsidRDefault="007A3BE1" w:rsidP="00C15CD3">
      <w:pPr>
        <w:rPr>
          <w:lang w:val="de-DE"/>
        </w:rPr>
      </w:pPr>
    </w:p>
    <w:p w14:paraId="5B2BE6EC" w14:textId="77777777" w:rsidR="007A3BE1" w:rsidRDefault="007A3BE1" w:rsidP="00C15CD3">
      <w:pPr>
        <w:rPr>
          <w:lang w:val="de-DE"/>
        </w:rPr>
      </w:pPr>
      <w:r>
        <w:rPr>
          <w:lang w:val="de-DE"/>
        </w:rPr>
        <w:t>Jedes Mitglied des Verwaltungsrates kann unter Angabe der Gründe vom Präsidenten die unverzügliche Einberufung einer Sitzung verlangen.</w:t>
      </w:r>
    </w:p>
    <w:p w14:paraId="3E46C7D2" w14:textId="77777777" w:rsidR="007A3BE1" w:rsidRDefault="007A3BE1" w:rsidP="00C15CD3">
      <w:pPr>
        <w:rPr>
          <w:lang w:val="de-DE"/>
        </w:rPr>
      </w:pPr>
    </w:p>
    <w:p w14:paraId="3C6CA632" w14:textId="77777777" w:rsidR="007A3BE1" w:rsidRDefault="007A3BE1" w:rsidP="00C15CD3">
      <w:pPr>
        <w:rPr>
          <w:lang w:val="de-DE"/>
        </w:rPr>
      </w:pPr>
      <w:r>
        <w:rPr>
          <w:lang w:val="de-DE"/>
        </w:rPr>
        <w:t>Bei der Beschlussfassung in Sitzungen des Verwaltungsrates hat der Vorsitzende den Stichentscheid.</w:t>
      </w:r>
    </w:p>
    <w:p w14:paraId="2F309D03" w14:textId="77777777" w:rsidR="007A3BE1" w:rsidRDefault="007A3BE1" w:rsidP="00C15CD3">
      <w:pPr>
        <w:rPr>
          <w:lang w:val="de-DE"/>
        </w:rPr>
      </w:pPr>
    </w:p>
    <w:p w14:paraId="7704558D" w14:textId="77777777" w:rsidR="007A3BE1" w:rsidRDefault="007A3BE1" w:rsidP="00C15CD3">
      <w:pPr>
        <w:rPr>
          <w:lang w:val="de-DE"/>
        </w:rPr>
      </w:pPr>
      <w:r>
        <w:rPr>
          <w:lang w:val="de-DE"/>
        </w:rPr>
        <w:t xml:space="preserve">Beschlüsse können auch auf dem Wege der schriftlichen Zustimmung </w:t>
      </w:r>
      <w:r w:rsidR="000A343A">
        <w:rPr>
          <w:lang w:val="de-DE"/>
        </w:rPr>
        <w:t xml:space="preserve">oder in elektronischer Form </w:t>
      </w:r>
      <w:r>
        <w:rPr>
          <w:lang w:val="de-DE"/>
        </w:rPr>
        <w:t>zu einem gestellten Antrag gefasst werden, sofern nicht ein Mitglied die mündliche Beratung verlangt.</w:t>
      </w:r>
    </w:p>
    <w:p w14:paraId="7C52FDC7" w14:textId="77777777" w:rsidR="007A3BE1" w:rsidRDefault="007A3BE1" w:rsidP="00C15CD3">
      <w:pPr>
        <w:rPr>
          <w:lang w:val="de-DE"/>
        </w:rPr>
      </w:pPr>
    </w:p>
    <w:p w14:paraId="16DEA95E" w14:textId="77777777" w:rsidR="007A3BE1" w:rsidRDefault="007A3BE1" w:rsidP="00C15CD3">
      <w:pPr>
        <w:rPr>
          <w:lang w:val="de-DE"/>
        </w:rPr>
      </w:pPr>
      <w:r>
        <w:rPr>
          <w:lang w:val="de-DE"/>
        </w:rPr>
        <w:t>Über die Verhandlungen und Beschlüsse ist ein Protokoll zu führen, das vom Vorsitzenden und vom Sekretär unterzeichnet wird.</w:t>
      </w:r>
    </w:p>
    <w:p w14:paraId="7714282D" w14:textId="6A5B9FF7" w:rsidR="007A3BE1" w:rsidRDefault="007A3BE1" w:rsidP="00C15CD3">
      <w:pPr>
        <w:pStyle w:val="berschrift3"/>
        <w:rPr>
          <w:lang w:val="de-DE"/>
        </w:rPr>
      </w:pPr>
      <w:r>
        <w:rPr>
          <w:lang w:val="de-DE"/>
        </w:rPr>
        <w:t>Artikel 1</w:t>
      </w:r>
      <w:r w:rsidR="001877E7">
        <w:rPr>
          <w:lang w:val="de-DE"/>
        </w:rPr>
        <w:t>8</w:t>
      </w:r>
      <w:r>
        <w:rPr>
          <w:lang w:val="de-DE"/>
        </w:rPr>
        <w:t xml:space="preserve"> – Recht auf Auskunft und Einsicht</w:t>
      </w:r>
    </w:p>
    <w:p w14:paraId="5B564CEB" w14:textId="77777777" w:rsidR="007A3BE1" w:rsidRDefault="007A3BE1" w:rsidP="00C15CD3">
      <w:pPr>
        <w:rPr>
          <w:lang w:val="de-DE"/>
        </w:rPr>
      </w:pPr>
      <w:r>
        <w:rPr>
          <w:lang w:val="de-DE"/>
        </w:rPr>
        <w:t>Jedes Mitglied des Verwaltungsrates kann Auskunft über alle Angelegenheiten der Gesellschaft verlangen.</w:t>
      </w:r>
    </w:p>
    <w:p w14:paraId="18D1B5E8" w14:textId="77777777" w:rsidR="007A3BE1" w:rsidRDefault="007A3BE1" w:rsidP="00C15CD3">
      <w:pPr>
        <w:rPr>
          <w:lang w:val="de-DE"/>
        </w:rPr>
      </w:pPr>
    </w:p>
    <w:p w14:paraId="403C334A" w14:textId="77777777" w:rsidR="007A3BE1" w:rsidRDefault="007A3BE1" w:rsidP="00C15CD3">
      <w:pPr>
        <w:rPr>
          <w:lang w:val="de-DE"/>
        </w:rPr>
      </w:pPr>
      <w:r>
        <w:rPr>
          <w:lang w:val="de-DE"/>
        </w:rPr>
        <w:t>In den Sitzungen sind alle Mitglieder des Verwaltungsrates sowie die mit der Geschäftsführung betrauten Personen zur Auskunft verpflichtet.</w:t>
      </w:r>
    </w:p>
    <w:p w14:paraId="60886596" w14:textId="77777777" w:rsidR="007A3BE1" w:rsidRDefault="007A3BE1" w:rsidP="00C15CD3">
      <w:pPr>
        <w:rPr>
          <w:lang w:val="de-DE"/>
        </w:rPr>
      </w:pPr>
    </w:p>
    <w:p w14:paraId="6BAE252C" w14:textId="77777777" w:rsidR="007A3BE1" w:rsidRDefault="007A3BE1" w:rsidP="00C15CD3">
      <w:pPr>
        <w:rPr>
          <w:lang w:val="de-DE"/>
        </w:rPr>
      </w:pPr>
      <w:proofErr w:type="spellStart"/>
      <w:r>
        <w:rPr>
          <w:lang w:val="de-DE"/>
        </w:rPr>
        <w:t>Ausserhalb</w:t>
      </w:r>
      <w:proofErr w:type="spellEnd"/>
      <w:r>
        <w:rPr>
          <w:lang w:val="de-DE"/>
        </w:rPr>
        <w:t xml:space="preserve"> der Sitzungen kann jedes Mitglied von den mit der Geschäftsführung betrauten Personen Auskunft über den Geschäftsgang und, mit Ermächtigung des Präsidenten, auch über einzelne Geschäfte verlangen.</w:t>
      </w:r>
    </w:p>
    <w:p w14:paraId="12D50897" w14:textId="77777777" w:rsidR="007A3BE1" w:rsidRDefault="007A3BE1" w:rsidP="00C15CD3">
      <w:pPr>
        <w:rPr>
          <w:lang w:val="de-DE"/>
        </w:rPr>
      </w:pPr>
    </w:p>
    <w:p w14:paraId="11B74939" w14:textId="77777777" w:rsidR="007A3BE1" w:rsidRDefault="007A3BE1" w:rsidP="00C15CD3">
      <w:pPr>
        <w:rPr>
          <w:lang w:val="de-DE"/>
        </w:rPr>
      </w:pPr>
      <w:r>
        <w:rPr>
          <w:lang w:val="de-DE"/>
        </w:rPr>
        <w:t>Soweit es für die Erfüllung einer Aufgabe erforderlich ist, kann jedes Mitglied dem Präsidenten beantragen, dass ihm Bücher und Akten vorgelegt werden.</w:t>
      </w:r>
    </w:p>
    <w:p w14:paraId="3F80C44F" w14:textId="77777777" w:rsidR="007A3BE1" w:rsidRDefault="007A3BE1" w:rsidP="00C15CD3">
      <w:pPr>
        <w:rPr>
          <w:lang w:val="de-DE"/>
        </w:rPr>
      </w:pPr>
    </w:p>
    <w:p w14:paraId="49F7D1CE" w14:textId="77777777" w:rsidR="007A3BE1" w:rsidRDefault="007A3BE1" w:rsidP="00C15CD3">
      <w:pPr>
        <w:rPr>
          <w:lang w:val="de-DE"/>
        </w:rPr>
      </w:pPr>
      <w:r>
        <w:rPr>
          <w:lang w:val="de-DE"/>
        </w:rPr>
        <w:t>Weist der Präsident ein Gesuch auf Auskunft, Anhörung oder Einsicht ab, so entscheidet der Verwaltungsrat.</w:t>
      </w:r>
    </w:p>
    <w:p w14:paraId="4338B423" w14:textId="77777777" w:rsidR="007A3BE1" w:rsidRDefault="007A3BE1" w:rsidP="00C15CD3">
      <w:pPr>
        <w:rPr>
          <w:lang w:val="de-DE"/>
        </w:rPr>
      </w:pPr>
    </w:p>
    <w:p w14:paraId="7163768F" w14:textId="77777777" w:rsidR="007A3BE1" w:rsidRDefault="007A3BE1" w:rsidP="00C15CD3">
      <w:pPr>
        <w:rPr>
          <w:lang w:val="de-DE"/>
        </w:rPr>
      </w:pPr>
      <w:r>
        <w:rPr>
          <w:lang w:val="de-DE"/>
        </w:rPr>
        <w:lastRenderedPageBreak/>
        <w:t>Regelungen oder Beschlüsse des Verwaltungsrates, die das Recht auf Auskunft und Einsichtnahme der Verwaltungsräte erweitern, bleiben vorbehalten.</w:t>
      </w:r>
    </w:p>
    <w:p w14:paraId="0FC82F9B" w14:textId="2C12DF2F" w:rsidR="007A3BE1" w:rsidRDefault="007A3BE1" w:rsidP="00C15CD3">
      <w:pPr>
        <w:pStyle w:val="berschrift3"/>
      </w:pPr>
      <w:r>
        <w:t>Artikel 1</w:t>
      </w:r>
      <w:r w:rsidR="001877E7">
        <w:t>9</w:t>
      </w:r>
      <w:r>
        <w:t xml:space="preserve"> – Aufgaben</w:t>
      </w:r>
    </w:p>
    <w:p w14:paraId="0DD71744" w14:textId="77777777" w:rsidR="007A3BE1" w:rsidRDefault="007A3BE1" w:rsidP="00C15CD3">
      <w:pPr>
        <w:rPr>
          <w:lang w:val="de-DE"/>
        </w:rPr>
      </w:pPr>
      <w:r>
        <w:rPr>
          <w:lang w:val="de-DE"/>
        </w:rPr>
        <w:t>Der Verwaltungsrat kann in allen Angelegenheiten Beschluss fassen, die nicht nach Gesetz oder Statuten der Generalversammlung zugeteilt sind. Er führt die Geschäfte der Gesellschaft, soweit er die Geschäftsführung nicht übertragen hat.</w:t>
      </w:r>
    </w:p>
    <w:p w14:paraId="0FA449E6" w14:textId="77777777" w:rsidR="007A3BE1" w:rsidRDefault="007A3BE1" w:rsidP="00C15CD3">
      <w:pPr>
        <w:rPr>
          <w:lang w:val="de-DE"/>
        </w:rPr>
      </w:pPr>
    </w:p>
    <w:p w14:paraId="2CB3A6E4" w14:textId="77777777" w:rsidR="007A3BE1" w:rsidRDefault="007A3BE1" w:rsidP="00C15CD3">
      <w:pPr>
        <w:rPr>
          <w:lang w:val="de-DE"/>
        </w:rPr>
      </w:pPr>
      <w:r>
        <w:rPr>
          <w:lang w:val="de-DE"/>
        </w:rPr>
        <w:t xml:space="preserve">Der Verwaltungsrat hat folgende unübertragbare und </w:t>
      </w:r>
      <w:proofErr w:type="spellStart"/>
      <w:r>
        <w:rPr>
          <w:lang w:val="de-DE"/>
        </w:rPr>
        <w:t>unentziehbare</w:t>
      </w:r>
      <w:proofErr w:type="spellEnd"/>
      <w:r>
        <w:rPr>
          <w:lang w:val="de-DE"/>
        </w:rPr>
        <w:t xml:space="preserve"> Aufgaben:</w:t>
      </w:r>
    </w:p>
    <w:p w14:paraId="0316445C" w14:textId="77777777" w:rsidR="007A3BE1" w:rsidRDefault="007A3BE1" w:rsidP="00C15CD3">
      <w:pPr>
        <w:rPr>
          <w:lang w:val="de-DE"/>
        </w:rPr>
      </w:pPr>
    </w:p>
    <w:p w14:paraId="0849347F" w14:textId="77777777" w:rsidR="007A3BE1" w:rsidRDefault="007A3BE1" w:rsidP="00C15CD3">
      <w:pPr>
        <w:pStyle w:val="Textkrper-Zeileneinzug"/>
      </w:pPr>
      <w:r>
        <w:t>1.</w:t>
      </w:r>
      <w:r>
        <w:tab/>
        <w:t>die Oberleitung der Gesellschaft und die Erteilung der nötigen Weisungen;</w:t>
      </w:r>
    </w:p>
    <w:p w14:paraId="7B6FB305" w14:textId="6B08DEFF" w:rsidR="007A3BE1" w:rsidRDefault="007A3BE1" w:rsidP="00C15CD3">
      <w:pPr>
        <w:pStyle w:val="Textkrper-Zeileneinzug"/>
      </w:pPr>
      <w:r>
        <w:t>2.</w:t>
      </w:r>
      <w:r>
        <w:tab/>
        <w:t>die Festlegung der Organisation;</w:t>
      </w:r>
    </w:p>
    <w:p w14:paraId="0733B136" w14:textId="77777777" w:rsidR="007A3BE1" w:rsidRDefault="007A3BE1" w:rsidP="00C15CD3">
      <w:pPr>
        <w:pStyle w:val="Textkrper-Zeileneinzug"/>
      </w:pPr>
      <w:r>
        <w:t>3.</w:t>
      </w:r>
      <w:r>
        <w:tab/>
        <w:t>die Ausgestaltung des Rechnungswesens, der Finanzkontrolle sowie der Finanzplanung, sofern diese für die Führung der Gesellschaft notwendig ist;</w:t>
      </w:r>
    </w:p>
    <w:p w14:paraId="65220642" w14:textId="77777777" w:rsidR="007A3BE1" w:rsidRDefault="007A3BE1" w:rsidP="00C15CD3">
      <w:pPr>
        <w:pStyle w:val="Textkrper-Zeileneinzug"/>
      </w:pPr>
      <w:r>
        <w:t>4.</w:t>
      </w:r>
      <w:r>
        <w:tab/>
        <w:t>die Ernennung und Abberufung der mit der Geschäftsführung und der Vertretung betrauten Personen;</w:t>
      </w:r>
    </w:p>
    <w:p w14:paraId="6557012B" w14:textId="77777777" w:rsidR="007A3BE1" w:rsidRDefault="007A3BE1" w:rsidP="00C15CD3">
      <w:pPr>
        <w:pStyle w:val="Textkrper-Zeileneinzug"/>
      </w:pPr>
      <w:r>
        <w:t>5.</w:t>
      </w:r>
      <w:r>
        <w:tab/>
        <w:t>die Oberaufsicht über die mit der Geschäftsführung betrauten Personen, namentlich im Hinblick auf die Befolgung der Gesetze, Statuten, Reglemente und Weisungen;</w:t>
      </w:r>
    </w:p>
    <w:p w14:paraId="55D4BDBD" w14:textId="77777777" w:rsidR="007A3BE1" w:rsidRDefault="007A3BE1" w:rsidP="00C15CD3">
      <w:pPr>
        <w:pStyle w:val="Textkrper-Zeileneinzug"/>
      </w:pPr>
      <w:r>
        <w:t>6.</w:t>
      </w:r>
      <w:r>
        <w:tab/>
        <w:t>die Erstellung des Geschäftsberichtes</w:t>
      </w:r>
      <w:r>
        <w:rPr>
          <w:vertAlign w:val="superscript"/>
        </w:rPr>
        <w:t xml:space="preserve"> </w:t>
      </w:r>
      <w:r>
        <w:t>sowie die Vorbereitung der Generalversammlung und die Ausführung ihrer Beschlüsse;</w:t>
      </w:r>
    </w:p>
    <w:p w14:paraId="5D7FE3CF" w14:textId="77777777" w:rsidR="00211236" w:rsidRDefault="007A3BE1" w:rsidP="00C15CD3">
      <w:pPr>
        <w:pStyle w:val="Textkrper-Zeileneinzug"/>
      </w:pPr>
      <w:r>
        <w:t>7.</w:t>
      </w:r>
      <w:r>
        <w:tab/>
      </w:r>
      <w:r w:rsidR="00211236">
        <w:t>die Einreichung eines Gesuchs um Nachlassstundung und die Benachrichtigung des Gerichts im Falle der Überschuldung;</w:t>
      </w:r>
    </w:p>
    <w:p w14:paraId="76E83DD3" w14:textId="77777777" w:rsidR="007A3BE1" w:rsidRDefault="007A3BE1" w:rsidP="00C15CD3">
      <w:pPr>
        <w:rPr>
          <w:lang w:val="de-DE"/>
        </w:rPr>
      </w:pPr>
      <w:r>
        <w:rPr>
          <w:lang w:val="de-DE"/>
        </w:rPr>
        <w:t>Der Verwaltungsrat kann die Vorbereitung und die Ausführung seiner Beschlüsse oder die Überwachung von Geschäften Ausschüssen oder einzelnen Mitgliedern zuweisen. Er hat für eine angemessene Berichterstattung an seine Mitglieder zu sorgen.</w:t>
      </w:r>
    </w:p>
    <w:p w14:paraId="4698CBAD" w14:textId="20B032F5" w:rsidR="007A3BE1" w:rsidRDefault="007A3BE1" w:rsidP="00C15CD3">
      <w:pPr>
        <w:pStyle w:val="berschrift3"/>
      </w:pPr>
      <w:r>
        <w:t xml:space="preserve">Artikel </w:t>
      </w:r>
      <w:r w:rsidR="007B67D9">
        <w:t>20</w:t>
      </w:r>
      <w:r>
        <w:t xml:space="preserve"> – Übertragung der Geschäftsführung und der Vertretun</w:t>
      </w:r>
      <w:r w:rsidR="00C74722">
        <w:t>g</w:t>
      </w:r>
    </w:p>
    <w:p w14:paraId="6ECA87C8" w14:textId="345CA0B9" w:rsidR="007A3BE1" w:rsidRDefault="007A3BE1" w:rsidP="00C15CD3">
      <w:pPr>
        <w:rPr>
          <w:lang w:val="de-DE"/>
        </w:rPr>
      </w:pPr>
      <w:r>
        <w:rPr>
          <w:lang w:val="de-DE"/>
        </w:rPr>
        <w:t xml:space="preserve">Der Verwaltungsrat kann die Geschäftsführung nach </w:t>
      </w:r>
      <w:proofErr w:type="spellStart"/>
      <w:r>
        <w:rPr>
          <w:lang w:val="de-DE"/>
        </w:rPr>
        <w:t>Massgabe</w:t>
      </w:r>
      <w:proofErr w:type="spellEnd"/>
      <w:r>
        <w:rPr>
          <w:lang w:val="de-DE"/>
        </w:rPr>
        <w:t xml:space="preserve"> eines </w:t>
      </w:r>
      <w:proofErr w:type="spellStart"/>
      <w:r>
        <w:rPr>
          <w:lang w:val="de-DE"/>
        </w:rPr>
        <w:t>Organisationsreglementes</w:t>
      </w:r>
      <w:proofErr w:type="spellEnd"/>
      <w:r>
        <w:rPr>
          <w:lang w:val="de-DE"/>
        </w:rPr>
        <w:t xml:space="preserve"> ganz oder zum Teil an einzelne</w:t>
      </w:r>
      <w:r w:rsidR="00393268">
        <w:rPr>
          <w:lang w:val="de-DE"/>
        </w:rPr>
        <w:t>n</w:t>
      </w:r>
      <w:r>
        <w:rPr>
          <w:lang w:val="de-DE"/>
        </w:rPr>
        <w:t xml:space="preserve"> Mitglieder</w:t>
      </w:r>
      <w:r w:rsidR="00393268">
        <w:rPr>
          <w:lang w:val="de-DE"/>
        </w:rPr>
        <w:t>n</w:t>
      </w:r>
      <w:r>
        <w:rPr>
          <w:lang w:val="de-DE"/>
        </w:rPr>
        <w:t xml:space="preserve"> oder an Dritte</w:t>
      </w:r>
      <w:r w:rsidR="00393268">
        <w:rPr>
          <w:lang w:val="de-DE"/>
        </w:rPr>
        <w:t>n</w:t>
      </w:r>
      <w:r>
        <w:rPr>
          <w:lang w:val="de-DE"/>
        </w:rPr>
        <w:t xml:space="preserve"> übertragen</w:t>
      </w:r>
      <w:r w:rsidR="00393268">
        <w:rPr>
          <w:lang w:val="de-DE"/>
        </w:rPr>
        <w:t xml:space="preserve"> (Geschäftsleitung)</w:t>
      </w:r>
      <w:r>
        <w:rPr>
          <w:lang w:val="de-DE"/>
        </w:rPr>
        <w:t>.</w:t>
      </w:r>
    </w:p>
    <w:p w14:paraId="6AC7FEFC" w14:textId="77777777" w:rsidR="007A3BE1" w:rsidRDefault="007A3BE1" w:rsidP="00C15CD3">
      <w:pPr>
        <w:rPr>
          <w:lang w:val="de-DE"/>
        </w:rPr>
      </w:pPr>
    </w:p>
    <w:p w14:paraId="158E0927" w14:textId="229FB48D" w:rsidR="007A3BE1" w:rsidRDefault="00393268" w:rsidP="00C15CD3">
      <w:pPr>
        <w:rPr>
          <w:lang w:val="de-DE"/>
        </w:rPr>
      </w:pPr>
      <w:r>
        <w:rPr>
          <w:lang w:val="de-DE"/>
        </w:rPr>
        <w:t>Das Organisationsreglement</w:t>
      </w:r>
      <w:r w:rsidR="007A3BE1">
        <w:rPr>
          <w:lang w:val="de-DE"/>
        </w:rPr>
        <w:t xml:space="preserve"> ordnet die Geschäftsführung, bestimmt die hierfür erforderlichen Stellen, umschreibt deren Aufgaben und regelt insbesondere die Berichterstattung.</w:t>
      </w:r>
    </w:p>
    <w:p w14:paraId="0501DD89" w14:textId="77777777" w:rsidR="007A3BE1" w:rsidRDefault="007A3BE1" w:rsidP="00C15CD3">
      <w:pPr>
        <w:rPr>
          <w:lang w:val="de-DE"/>
        </w:rPr>
      </w:pPr>
    </w:p>
    <w:p w14:paraId="339C855F" w14:textId="77777777" w:rsidR="007A3BE1" w:rsidRDefault="007A3BE1" w:rsidP="00C15CD3">
      <w:pPr>
        <w:rPr>
          <w:lang w:val="de-DE"/>
        </w:rPr>
      </w:pPr>
      <w:r>
        <w:rPr>
          <w:lang w:val="de-DE"/>
        </w:rPr>
        <w:t>Soweit die Geschäftsführung nicht übertragen worden ist, steht sie allen Mitgliedern des Verwaltungsrates gesamthaft zu.</w:t>
      </w:r>
    </w:p>
    <w:p w14:paraId="16B5549F" w14:textId="77777777" w:rsidR="007A3BE1" w:rsidRDefault="007A3BE1" w:rsidP="00C15CD3">
      <w:pPr>
        <w:rPr>
          <w:lang w:val="de-DE"/>
        </w:rPr>
      </w:pPr>
    </w:p>
    <w:p w14:paraId="457C19B3" w14:textId="77777777" w:rsidR="007A3BE1" w:rsidRDefault="007A3BE1" w:rsidP="00C15CD3">
      <w:pPr>
        <w:rPr>
          <w:lang w:val="de-DE"/>
        </w:rPr>
      </w:pPr>
      <w:r>
        <w:rPr>
          <w:lang w:val="de-DE"/>
        </w:rPr>
        <w:t>Der Verwaltungsrat kann die Vertretung einem oder mehreren Mitgliedern (Delegierte) oder Dritten (Direktoren) übertragen. Mindestens ein Mitglied des Verwaltungsrates muss zur Vertretung befugt sein.</w:t>
      </w:r>
    </w:p>
    <w:p w14:paraId="44F2BBDF" w14:textId="77777777" w:rsidR="007B67D9" w:rsidRDefault="007B67D9" w:rsidP="00C15CD3">
      <w:pPr>
        <w:rPr>
          <w:lang w:val="de-DE"/>
        </w:rPr>
      </w:pPr>
    </w:p>
    <w:p w14:paraId="2F1E3DAB" w14:textId="77777777" w:rsidR="007B67D9" w:rsidRDefault="007B67D9" w:rsidP="00C15CD3">
      <w:r>
        <w:rPr>
          <w:lang w:val="de-DE"/>
        </w:rPr>
        <w:t>Die Gesellschaft muss durch eine Person vertreten werden können, die Wohnsitz in der Schweiz hat.</w:t>
      </w:r>
    </w:p>
    <w:p w14:paraId="363092ED" w14:textId="77777777" w:rsidR="007A3BE1" w:rsidRDefault="007A3BE1" w:rsidP="00C15CD3">
      <w:pPr>
        <w:pStyle w:val="berschrift3"/>
      </w:pPr>
      <w:r>
        <w:lastRenderedPageBreak/>
        <w:t>C.</w:t>
      </w:r>
      <w:r>
        <w:tab/>
        <w:t>Revisionsstelle</w:t>
      </w:r>
    </w:p>
    <w:p w14:paraId="008164B8" w14:textId="63DE4D01" w:rsidR="007A3BE1" w:rsidRDefault="00CE673A" w:rsidP="00C15CD3">
      <w:pPr>
        <w:pStyle w:val="berschrift3"/>
      </w:pPr>
      <w:r>
        <w:t xml:space="preserve">Artikel </w:t>
      </w:r>
      <w:r w:rsidR="007B67D9">
        <w:t>21</w:t>
      </w:r>
      <w:r>
        <w:t xml:space="preserve"> – Revision</w:t>
      </w:r>
    </w:p>
    <w:p w14:paraId="7F01996B" w14:textId="77777777" w:rsidR="0029202B" w:rsidRDefault="00CE673A" w:rsidP="00C15CD3">
      <w:r>
        <w:t>Die General</w:t>
      </w:r>
      <w:r w:rsidR="00C35B2B" w:rsidRPr="005A053B">
        <w:t>versammlung wählt eine Revisions</w:t>
      </w:r>
      <w:r w:rsidR="0029202B">
        <w:t>stelle.</w:t>
      </w:r>
    </w:p>
    <w:p w14:paraId="7B678F03" w14:textId="77777777" w:rsidR="0029202B" w:rsidRDefault="0029202B" w:rsidP="00C15CD3"/>
    <w:p w14:paraId="4EE6561B" w14:textId="77777777" w:rsidR="00C35B2B" w:rsidRPr="00BC72F6" w:rsidRDefault="00C35B2B" w:rsidP="00C15CD3">
      <w:r w:rsidRPr="00BC72F6">
        <w:t>Sie kann auf die Wahl einer Revisionsstelle verzichten, wenn:</w:t>
      </w:r>
    </w:p>
    <w:p w14:paraId="758238ED" w14:textId="77777777" w:rsidR="00C35B2B" w:rsidRPr="00E45B0D" w:rsidRDefault="00C35B2B" w:rsidP="00C15CD3">
      <w:pPr>
        <w:numPr>
          <w:ilvl w:val="0"/>
          <w:numId w:val="8"/>
        </w:numPr>
        <w:tabs>
          <w:tab w:val="clear" w:pos="720"/>
        </w:tabs>
        <w:spacing w:before="120" w:after="120"/>
        <w:ind w:left="567" w:right="432" w:hanging="567"/>
      </w:pPr>
      <w:r w:rsidRPr="00E45B0D">
        <w:t>die Gesellschaft nicht zur ordentlichen Revision verpflichtet ist;</w:t>
      </w:r>
    </w:p>
    <w:p w14:paraId="1FCEC440" w14:textId="77777777" w:rsidR="00C35B2B" w:rsidRPr="00E45B0D" w:rsidRDefault="00CE673A" w:rsidP="00C15CD3">
      <w:pPr>
        <w:numPr>
          <w:ilvl w:val="0"/>
          <w:numId w:val="8"/>
        </w:numPr>
        <w:tabs>
          <w:tab w:val="clear" w:pos="720"/>
        </w:tabs>
        <w:spacing w:before="120" w:after="120"/>
        <w:ind w:left="567" w:right="432" w:hanging="567"/>
      </w:pPr>
      <w:r>
        <w:t>sämtliche Aktionäre</w:t>
      </w:r>
      <w:r w:rsidR="00C35B2B" w:rsidRPr="00E45B0D">
        <w:t xml:space="preserve"> zustimmen; und</w:t>
      </w:r>
    </w:p>
    <w:p w14:paraId="5A4B914F" w14:textId="77777777" w:rsidR="00C35B2B" w:rsidRPr="00E45B0D" w:rsidRDefault="00C35B2B" w:rsidP="00C15CD3">
      <w:pPr>
        <w:numPr>
          <w:ilvl w:val="0"/>
          <w:numId w:val="8"/>
        </w:numPr>
        <w:tabs>
          <w:tab w:val="clear" w:pos="720"/>
        </w:tabs>
        <w:spacing w:before="120" w:after="120"/>
        <w:ind w:left="567" w:right="432" w:hanging="567"/>
      </w:pPr>
      <w:r w:rsidRPr="00E45B0D">
        <w:t>die Gesellschaft nicht mehr als zehn Vollzeitstellen im Jahresdurchschnitt hat.</w:t>
      </w:r>
    </w:p>
    <w:p w14:paraId="2012572C" w14:textId="77777777" w:rsidR="0029202B" w:rsidRDefault="0029202B" w:rsidP="00C15CD3"/>
    <w:p w14:paraId="7AA6F3CB" w14:textId="623CF9A6" w:rsidR="00C35B2B" w:rsidRDefault="00C35B2B" w:rsidP="00C15CD3">
      <w:r w:rsidRPr="00624E95">
        <w:t xml:space="preserve">Der Verzicht gilt auch für die </w:t>
      </w:r>
      <w:r w:rsidR="00CE673A">
        <w:t>nachfolgenden Jahre. Jeder Aktionär</w:t>
      </w:r>
      <w:r w:rsidRPr="00624E95">
        <w:t xml:space="preserve"> hat jedoch das Recht, spätestens 10 Tage</w:t>
      </w:r>
      <w:r w:rsidR="00CE673A">
        <w:t xml:space="preserve"> vor der General</w:t>
      </w:r>
      <w:r w:rsidRPr="00624E95">
        <w:t xml:space="preserve">versammlung die Durchführung einer eingeschränkten Revision und die Wahl einer entsprechenden Revisionsstelle zu verlangen. </w:t>
      </w:r>
      <w:r w:rsidR="00CE673A">
        <w:t>Die General</w:t>
      </w:r>
      <w:r w:rsidRPr="001B1690">
        <w:t xml:space="preserve">versammlung darf </w:t>
      </w:r>
      <w:proofErr w:type="spellStart"/>
      <w:r w:rsidRPr="001B1690">
        <w:t>diesf</w:t>
      </w:r>
      <w:r w:rsidR="00CE673A">
        <w:t>alls</w:t>
      </w:r>
      <w:proofErr w:type="spellEnd"/>
      <w:r w:rsidR="00CE673A">
        <w:t xml:space="preserve"> die Beschlüsse nach Art. 8 Ziff. 3 </w:t>
      </w:r>
      <w:r w:rsidR="00295F12">
        <w:t>bis 6</w:t>
      </w:r>
      <w:r w:rsidRPr="001B1690">
        <w:t xml:space="preserve"> erst fassen, wenn der Revisionsbericht vorliegt.</w:t>
      </w:r>
    </w:p>
    <w:p w14:paraId="71E3B784" w14:textId="584250C9" w:rsidR="00C35B2B" w:rsidRPr="007E1A4B" w:rsidRDefault="00C35B2B" w:rsidP="00C15CD3">
      <w:pPr>
        <w:pStyle w:val="berschrift3"/>
      </w:pPr>
      <w:r w:rsidRPr="007E1A4B">
        <w:t>Artikel 2</w:t>
      </w:r>
      <w:r w:rsidR="005F6737">
        <w:t>2</w:t>
      </w:r>
      <w:r w:rsidRPr="007E1A4B">
        <w:t xml:space="preserve"> – Anforderungen an die Revisionsstelle</w:t>
      </w:r>
    </w:p>
    <w:p w14:paraId="48043E0F" w14:textId="77777777" w:rsidR="00C35B2B" w:rsidRDefault="00C35B2B" w:rsidP="00C15CD3">
      <w:r w:rsidRPr="005A053B">
        <w:t>Als Revisionsstelle können eine oder mehrere natürliche oder juristische Personen oder Personengesellschaften gewählt werden.</w:t>
      </w:r>
    </w:p>
    <w:p w14:paraId="65CDB012" w14:textId="77777777" w:rsidR="0029202B" w:rsidRPr="005A053B" w:rsidRDefault="0029202B" w:rsidP="00C15CD3"/>
    <w:p w14:paraId="1EE88E97" w14:textId="77777777" w:rsidR="00C35B2B" w:rsidRDefault="00C35B2B" w:rsidP="00C15CD3">
      <w:r>
        <w:t>Die Revisionsstelle muss ihren Wohnsitz, ihren Sitz oder eine eingetragene Zweigniederlassung in der Schweiz haben. Hat die Gesellschaft mehrere Revisionsstellen, so muss zumindest eine diese Voraussetzungen erfüllen.</w:t>
      </w:r>
    </w:p>
    <w:p w14:paraId="5AB2E77C" w14:textId="77777777" w:rsidR="0029202B" w:rsidRDefault="0029202B" w:rsidP="00C15CD3"/>
    <w:p w14:paraId="1C675578" w14:textId="77777777" w:rsidR="00C35B2B" w:rsidRDefault="00CE673A" w:rsidP="00C15CD3">
      <w:r>
        <w:t xml:space="preserve">Ist die Gesellschaft </w:t>
      </w:r>
      <w:r w:rsidR="00C35B2B" w:rsidRPr="00BC72F6">
        <w:t>zur ordentlichen Revision</w:t>
      </w:r>
      <w:r>
        <w:t xml:space="preserve"> verpflichtet, so muss die General</w:t>
      </w:r>
      <w:r w:rsidR="00C35B2B" w:rsidRPr="00BC72F6">
        <w:t xml:space="preserve">versammlung als Revisionsstelle einen zugelassenen Revisionsexperten </w:t>
      </w:r>
      <w:r w:rsidR="002F0ED6">
        <w:t xml:space="preserve">bzw. ein staatlich beaufsichtigtes Revisionsunternehmen </w:t>
      </w:r>
      <w:r w:rsidR="00C35B2B" w:rsidRPr="00BC72F6">
        <w:t>nach den Vorschriften des Revisionsaufsichtsgesetzes vom 16. Dezember 2005 wählen.</w:t>
      </w:r>
    </w:p>
    <w:p w14:paraId="434692C4" w14:textId="77777777" w:rsidR="0029202B" w:rsidRPr="00BC72F6" w:rsidRDefault="0029202B" w:rsidP="00C15CD3"/>
    <w:p w14:paraId="05794F8F" w14:textId="0322160D" w:rsidR="00C35B2B" w:rsidRDefault="00C35B2B" w:rsidP="00C15CD3">
      <w:r w:rsidRPr="00BC72F6">
        <w:t>Ist die Gesellschaft zur eingeschränkten Revision ve</w:t>
      </w:r>
      <w:r w:rsidR="00CE673A">
        <w:t>rpflichtet, so muss die General</w:t>
      </w:r>
      <w:r w:rsidRPr="00BC72F6">
        <w:t>versammlung als Revisionsstelle einen zugelassenen Revisor nach den Vorschriften des Revisionsaufsichtsgesetzes vom 16. Dezember 2005 wählen.</w:t>
      </w:r>
      <w:r w:rsidR="00315EFF">
        <w:t xml:space="preserve"> Vorbehalten bleibt der</w:t>
      </w:r>
      <w:r>
        <w:t xml:space="preserve"> Verzicht auf die Wahl einer Revisionsstel</w:t>
      </w:r>
      <w:r w:rsidRPr="00AC2224">
        <w:t xml:space="preserve">le </w:t>
      </w:r>
      <w:r w:rsidR="007E1A4B">
        <w:t xml:space="preserve">nach Artikel </w:t>
      </w:r>
      <w:r w:rsidR="0020754D">
        <w:t>21</w:t>
      </w:r>
      <w:r w:rsidRPr="005677DA">
        <w:t>.</w:t>
      </w:r>
    </w:p>
    <w:p w14:paraId="19EDD913" w14:textId="77777777" w:rsidR="0029202B" w:rsidRPr="00BC72F6" w:rsidRDefault="0029202B" w:rsidP="00C15CD3"/>
    <w:p w14:paraId="54AD6340" w14:textId="77777777" w:rsidR="00C35B2B" w:rsidRDefault="00C35B2B" w:rsidP="00C15CD3">
      <w:r w:rsidRPr="00BC72F6">
        <w:t>Die Rev</w:t>
      </w:r>
      <w:r>
        <w:t>isionsstelle muss nach Art. 728</w:t>
      </w:r>
      <w:r w:rsidRPr="00BC72F6">
        <w:t xml:space="preserve"> bzw. 729 OR unabhängig sein</w:t>
      </w:r>
      <w:r>
        <w:t>.</w:t>
      </w:r>
    </w:p>
    <w:p w14:paraId="1AC574AE" w14:textId="77777777" w:rsidR="0029202B" w:rsidRPr="00BC72F6" w:rsidRDefault="0029202B" w:rsidP="00C15CD3"/>
    <w:p w14:paraId="2419F64D" w14:textId="4DB49AD5" w:rsidR="00C35B2B" w:rsidRPr="00617BC0" w:rsidRDefault="00C35B2B" w:rsidP="00C15CD3">
      <w:pPr>
        <w:pStyle w:val="00Vorgabetext"/>
      </w:pPr>
      <w:r w:rsidRPr="005A053B">
        <w:t xml:space="preserve">Die Revisionsstelle wird für ein Geschäftsjahr gewählt. Ihr Amt endet mit der Abnahme der letzten Jahresrechnung. Eine Wiederwahl ist möglich. </w:t>
      </w:r>
      <w:r w:rsidR="008755E1">
        <w:t>Die Generalversammlung kann die Revisionsstelle nur aus wichtigen Gründen abberufen.</w:t>
      </w:r>
    </w:p>
    <w:p w14:paraId="130ABF91" w14:textId="77777777" w:rsidR="007A3BE1" w:rsidRDefault="007A3BE1" w:rsidP="00C15CD3">
      <w:pPr>
        <w:pStyle w:val="berschrift2"/>
      </w:pPr>
      <w:r>
        <w:t xml:space="preserve">IV. </w:t>
      </w:r>
      <w:r>
        <w:tab/>
        <w:t>Rechnungsabschluss und Gewinnverteilung</w:t>
      </w:r>
    </w:p>
    <w:p w14:paraId="1E63DE1E" w14:textId="24A4BA5F" w:rsidR="007A3BE1" w:rsidRDefault="00CE673A" w:rsidP="00C15CD3">
      <w:pPr>
        <w:pStyle w:val="berschrift3"/>
      </w:pPr>
      <w:r>
        <w:t>Artikel 2</w:t>
      </w:r>
      <w:r w:rsidR="005F6737">
        <w:t>3</w:t>
      </w:r>
      <w:r w:rsidR="007A3BE1">
        <w:t xml:space="preserve"> – Geschäftsjahr und Buchführung</w:t>
      </w:r>
    </w:p>
    <w:p w14:paraId="784CE077" w14:textId="77777777" w:rsidR="007A3BE1" w:rsidRDefault="007A3BE1" w:rsidP="00C15CD3">
      <w:r>
        <w:t>Das Geschäftsjahr beginnt am [...] und endet am [...], erstmals am [...].</w:t>
      </w:r>
    </w:p>
    <w:p w14:paraId="384C1E95" w14:textId="77777777" w:rsidR="007A3BE1" w:rsidRDefault="007A3BE1" w:rsidP="00C15CD3"/>
    <w:p w14:paraId="5B3DFC97" w14:textId="77777777" w:rsidR="007A3BE1" w:rsidRDefault="007A3BE1" w:rsidP="00C15CD3">
      <w:r>
        <w:lastRenderedPageBreak/>
        <w:t>Die Jahresrechnung, bestehend aus Erfolgsrechnung, Bilanz und Anhang, ist gemäss den Vorschriften des Schweizerischen Obligationenre</w:t>
      </w:r>
      <w:r w:rsidR="00C51A61">
        <w:t>chts, insbesondere der Art. 957</w:t>
      </w:r>
      <w:r>
        <w:t xml:space="preserve"> ff.,</w:t>
      </w:r>
      <w:r w:rsidR="00C51A61">
        <w:t xml:space="preserve"> zu erstellen</w:t>
      </w:r>
      <w:r>
        <w:t>.</w:t>
      </w:r>
    </w:p>
    <w:p w14:paraId="74100B1D" w14:textId="1C34978D" w:rsidR="007A3BE1" w:rsidRDefault="007A3BE1" w:rsidP="00C15CD3">
      <w:pPr>
        <w:pStyle w:val="berschrift3"/>
      </w:pPr>
      <w:r>
        <w:t>Artikel 2</w:t>
      </w:r>
      <w:r w:rsidR="005F6737">
        <w:t>4</w:t>
      </w:r>
      <w:r>
        <w:t xml:space="preserve"> – Reserven und Gewinnverwendung</w:t>
      </w:r>
    </w:p>
    <w:p w14:paraId="268744B5" w14:textId="68E82F7A" w:rsidR="007A3BE1" w:rsidRDefault="007A3BE1" w:rsidP="00C15CD3">
      <w:r>
        <w:t xml:space="preserve">Aus dem Jahresgewinn ist zuerst die Zuweisung an die </w:t>
      </w:r>
      <w:r w:rsidR="00D84BA0">
        <w:t xml:space="preserve">gesetzliche Gewinnreserve </w:t>
      </w:r>
      <w:r>
        <w:t>entsprechend den Vorschriften des Gesetzes vorzunehmen. Der Bilanzgewinn steht zur Verfügung der Generalversammlung, die ihn im Rahmen der gesetzlichen Auflagen (insbesondere Art. 671 ff. OR) nach freiem Ermessen verwenden kann.</w:t>
      </w:r>
    </w:p>
    <w:p w14:paraId="2E63A042" w14:textId="2E724B31" w:rsidR="007A3BE1" w:rsidRDefault="00CE673A" w:rsidP="00C15CD3">
      <w:pPr>
        <w:pStyle w:val="berschrift3"/>
      </w:pPr>
      <w:r>
        <w:t>Artikel 2</w:t>
      </w:r>
      <w:r w:rsidR="005F6737">
        <w:t>5</w:t>
      </w:r>
      <w:r w:rsidR="007A3BE1">
        <w:t xml:space="preserve"> – Auflösung und Liquidation</w:t>
      </w:r>
    </w:p>
    <w:p w14:paraId="3F07C8E9" w14:textId="77777777" w:rsidR="007A3BE1" w:rsidRDefault="007A3BE1" w:rsidP="00C15CD3">
      <w:r>
        <w:t>Die Auflösung der Gesellschaft kann durch einen Beschluss der Generalversammlung, über den eine öffentliche Urkunde zu errichten ist, erfolgen.</w:t>
      </w:r>
    </w:p>
    <w:p w14:paraId="28B370AE" w14:textId="77777777" w:rsidR="007A3BE1" w:rsidRDefault="007A3BE1" w:rsidP="00C15CD3"/>
    <w:p w14:paraId="06F69B7B" w14:textId="77777777" w:rsidR="007A3BE1" w:rsidRDefault="007A3BE1" w:rsidP="00C15CD3">
      <w:r>
        <w:t>Die Liquidation wird durch den Verwaltungsrat besorgt, falls sie nicht durch einen Beschluss der Generalversammlung anderen Personen übertragen wird. Die Liquidation erfolgt gemäss Art. 742 ff. OR.</w:t>
      </w:r>
    </w:p>
    <w:p w14:paraId="3DB7701C" w14:textId="77777777" w:rsidR="007A3BE1" w:rsidRDefault="007A3BE1" w:rsidP="00C15CD3"/>
    <w:p w14:paraId="4154C561" w14:textId="77777777" w:rsidR="007A3BE1" w:rsidRDefault="007A3BE1" w:rsidP="00C15CD3">
      <w:r>
        <w:t>Das Vermögen der aufgelösten Gesellschaft wird nach Tilgung ihrer Schulden nach Massgabe der einbezahlten Beträge unter die Aktionäre verteilt.</w:t>
      </w:r>
    </w:p>
    <w:p w14:paraId="6C24E098" w14:textId="71BB518B" w:rsidR="007A3BE1" w:rsidRDefault="007A3BE1" w:rsidP="00C15CD3">
      <w:pPr>
        <w:pStyle w:val="berschrift2"/>
      </w:pPr>
      <w:r>
        <w:t>V.</w:t>
      </w:r>
      <w:r>
        <w:tab/>
        <w:t>Benachrichtigung</w:t>
      </w:r>
    </w:p>
    <w:p w14:paraId="5DC91690" w14:textId="7E5F6916" w:rsidR="007A3BE1" w:rsidRDefault="00CE673A" w:rsidP="00C15CD3">
      <w:pPr>
        <w:pStyle w:val="berschrift3"/>
      </w:pPr>
      <w:r>
        <w:t>Artikel 2</w:t>
      </w:r>
      <w:r w:rsidR="00D471C7">
        <w:t>6</w:t>
      </w:r>
      <w:r w:rsidR="007A3BE1">
        <w:t xml:space="preserve"> – Mitteilungen </w:t>
      </w:r>
      <w:r w:rsidR="00476E4F">
        <w:t>an die Aktionäre</w:t>
      </w:r>
    </w:p>
    <w:p w14:paraId="17254841" w14:textId="1713FF60" w:rsidR="007A3BE1" w:rsidRDefault="007A3BE1" w:rsidP="00C15CD3">
      <w:r>
        <w:t>Mitteilungen an die Aktionäre erfolgen per Brief</w:t>
      </w:r>
      <w:r w:rsidR="00916A6C">
        <w:t xml:space="preserve"> oder</w:t>
      </w:r>
      <w:r w:rsidR="00BD6875">
        <w:t xml:space="preserve"> </w:t>
      </w:r>
      <w:r w:rsidR="00DF559C">
        <w:t>E-Mail</w:t>
      </w:r>
      <w:r>
        <w:t xml:space="preserve"> an die im Aktienbuch verzeichneten Adressen.</w:t>
      </w:r>
    </w:p>
    <w:sectPr w:rsidR="007A3BE1" w:rsidSect="001F294D">
      <w:headerReference w:type="default" r:id="rId8"/>
      <w:pgSz w:w="11906" w:h="16838"/>
      <w:pgMar w:top="1418" w:right="1418"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2D992" w14:textId="77777777" w:rsidR="00F52D89" w:rsidRDefault="00F52D89">
      <w:r>
        <w:separator/>
      </w:r>
    </w:p>
  </w:endnote>
  <w:endnote w:type="continuationSeparator" w:id="0">
    <w:p w14:paraId="0554D063" w14:textId="77777777" w:rsidR="00F52D89" w:rsidRDefault="00F5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2F0C4" w14:textId="77777777" w:rsidR="00F52D89" w:rsidRDefault="00F52D89">
      <w:r>
        <w:separator/>
      </w:r>
    </w:p>
  </w:footnote>
  <w:footnote w:type="continuationSeparator" w:id="0">
    <w:p w14:paraId="2E8B62AD" w14:textId="77777777" w:rsidR="00F52D89" w:rsidRDefault="00F52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BD5BA" w14:textId="42A060D9" w:rsidR="002F0ED6" w:rsidRDefault="002F0ED6">
    <w:pPr>
      <w:pStyle w:val="Kopfzeile"/>
      <w:jc w:val="center"/>
      <w:rPr>
        <w:rStyle w:val="Seitenzahl"/>
        <w:rFonts w:ascii="Arial" w:hAnsi="Arial" w:cs="Arial"/>
        <w:sz w:val="22"/>
      </w:rPr>
    </w:pPr>
    <w:r>
      <w:rPr>
        <w:rStyle w:val="Seitenzahl"/>
        <w:rFonts w:ascii="Arial" w:hAnsi="Arial" w:cs="Arial"/>
        <w:sz w:val="22"/>
      </w:rPr>
      <w:t xml:space="preserve">- </w:t>
    </w:r>
    <w:r w:rsidR="00D95F14">
      <w:rPr>
        <w:rStyle w:val="Seitenzahl"/>
        <w:rFonts w:ascii="Arial" w:hAnsi="Arial" w:cs="Arial"/>
        <w:sz w:val="22"/>
      </w:rPr>
      <w:fldChar w:fldCharType="begin"/>
    </w:r>
    <w:r>
      <w:rPr>
        <w:rStyle w:val="Seitenzahl"/>
        <w:rFonts w:ascii="Arial" w:hAnsi="Arial" w:cs="Arial"/>
        <w:sz w:val="22"/>
      </w:rPr>
      <w:instrText xml:space="preserve"> PAGE </w:instrText>
    </w:r>
    <w:r w:rsidR="00D95F14">
      <w:rPr>
        <w:rStyle w:val="Seitenzahl"/>
        <w:rFonts w:ascii="Arial" w:hAnsi="Arial" w:cs="Arial"/>
        <w:sz w:val="22"/>
      </w:rPr>
      <w:fldChar w:fldCharType="separate"/>
    </w:r>
    <w:r w:rsidR="0027579A">
      <w:rPr>
        <w:rStyle w:val="Seitenzahl"/>
        <w:rFonts w:ascii="Arial" w:hAnsi="Arial" w:cs="Arial"/>
        <w:noProof/>
        <w:sz w:val="22"/>
      </w:rPr>
      <w:t>4</w:t>
    </w:r>
    <w:r w:rsidR="00D95F14">
      <w:rPr>
        <w:rStyle w:val="Seitenzahl"/>
        <w:rFonts w:ascii="Arial" w:hAnsi="Arial" w:cs="Arial"/>
        <w:sz w:val="22"/>
      </w:rPr>
      <w:fldChar w:fldCharType="end"/>
    </w:r>
    <w:r>
      <w:rPr>
        <w:rStyle w:val="Seitenzahl"/>
        <w:rFonts w:ascii="Arial" w:hAnsi="Arial" w:cs="Arial"/>
        <w:sz w:val="22"/>
      </w:rPr>
      <w:t xml:space="preserve"> -</w:t>
    </w:r>
  </w:p>
  <w:p w14:paraId="0062F39A" w14:textId="77777777" w:rsidR="002F0ED6" w:rsidRDefault="002F0ED6">
    <w:pPr>
      <w:pStyle w:val="Kopfzeile"/>
      <w:jc w:val="center"/>
      <w:rPr>
        <w:rStyle w:val="Seitenzahl"/>
      </w:rPr>
    </w:pPr>
  </w:p>
  <w:p w14:paraId="6F2802CE" w14:textId="77777777" w:rsidR="002F0ED6" w:rsidRDefault="002F0ED6">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18B4"/>
    <w:multiLevelType w:val="hybridMultilevel"/>
    <w:tmpl w:val="D4F69A2E"/>
    <w:lvl w:ilvl="0" w:tplc="2D020EB6">
      <w:start w:val="1"/>
      <w:numFmt w:val="decimal"/>
      <w:lvlText w:val="%1."/>
      <w:lvlJc w:val="left"/>
      <w:pPr>
        <w:tabs>
          <w:tab w:val="num" w:pos="900"/>
        </w:tabs>
        <w:ind w:left="900" w:hanging="5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E173215"/>
    <w:multiLevelType w:val="hybridMultilevel"/>
    <w:tmpl w:val="32D0DC52"/>
    <w:lvl w:ilvl="0" w:tplc="BCACBDBA">
      <w:start w:val="1"/>
      <w:numFmt w:val="upperRoman"/>
      <w:lvlText w:val="%1."/>
      <w:lvlJc w:val="left"/>
      <w:pPr>
        <w:tabs>
          <w:tab w:val="num" w:pos="1080"/>
        </w:tabs>
        <w:ind w:left="108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53D6B6E"/>
    <w:multiLevelType w:val="hybridMultilevel"/>
    <w:tmpl w:val="3A7889D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1A4893"/>
    <w:multiLevelType w:val="hybridMultilevel"/>
    <w:tmpl w:val="9386FF1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D4E4508"/>
    <w:multiLevelType w:val="hybridMultilevel"/>
    <w:tmpl w:val="1206D29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315836D6"/>
    <w:multiLevelType w:val="hybridMultilevel"/>
    <w:tmpl w:val="D4F69A2E"/>
    <w:lvl w:ilvl="0" w:tplc="5C047F46">
      <w:start w:val="1"/>
      <w:numFmt w:val="bullet"/>
      <w:lvlText w:val=""/>
      <w:lvlJc w:val="left"/>
      <w:pPr>
        <w:tabs>
          <w:tab w:val="num" w:pos="720"/>
        </w:tabs>
        <w:ind w:left="700" w:hanging="340"/>
      </w:pPr>
      <w:rPr>
        <w:rFonts w:ascii="Wingdings" w:hAnsi="Wingding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8734FF4"/>
    <w:multiLevelType w:val="hybridMultilevel"/>
    <w:tmpl w:val="33FCA924"/>
    <w:lvl w:ilvl="0" w:tplc="58B8F868">
      <w:start w:val="1"/>
      <w:numFmt w:val="decimal"/>
      <w:lvlText w:val="%1."/>
      <w:lvlJc w:val="left"/>
      <w:pPr>
        <w:ind w:left="540" w:hanging="54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4A0A2C9D"/>
    <w:multiLevelType w:val="hybridMultilevel"/>
    <w:tmpl w:val="8F8EC8DE"/>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5AEA0F18"/>
    <w:multiLevelType w:val="hybridMultilevel"/>
    <w:tmpl w:val="DE18C7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BAE7AD1"/>
    <w:multiLevelType w:val="hybridMultilevel"/>
    <w:tmpl w:val="FAD098EA"/>
    <w:lvl w:ilvl="0" w:tplc="2D020EB6">
      <w:start w:val="1"/>
      <w:numFmt w:val="decimal"/>
      <w:lvlText w:val="%1."/>
      <w:lvlJc w:val="left"/>
      <w:pPr>
        <w:tabs>
          <w:tab w:val="num" w:pos="1260"/>
        </w:tabs>
        <w:ind w:left="1260" w:hanging="54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10" w15:restartNumberingAfterBreak="0">
    <w:nsid w:val="5C7826B8"/>
    <w:multiLevelType w:val="hybridMultilevel"/>
    <w:tmpl w:val="436E36AC"/>
    <w:lvl w:ilvl="0" w:tplc="2D020EB6">
      <w:start w:val="1"/>
      <w:numFmt w:val="decimal"/>
      <w:lvlText w:val="%1."/>
      <w:lvlJc w:val="left"/>
      <w:pPr>
        <w:tabs>
          <w:tab w:val="num" w:pos="900"/>
        </w:tabs>
        <w:ind w:left="900" w:hanging="5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604514EF"/>
    <w:multiLevelType w:val="hybridMultilevel"/>
    <w:tmpl w:val="9D16D674"/>
    <w:lvl w:ilvl="0" w:tplc="6F9E7AE8">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65D32808"/>
    <w:multiLevelType w:val="hybridMultilevel"/>
    <w:tmpl w:val="3CF2832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10"/>
  </w:num>
  <w:num w:numId="5">
    <w:abstractNumId w:val="9"/>
  </w:num>
  <w:num w:numId="6">
    <w:abstractNumId w:val="11"/>
  </w:num>
  <w:num w:numId="7">
    <w:abstractNumId w:val="1"/>
  </w:num>
  <w:num w:numId="8">
    <w:abstractNumId w:val="12"/>
  </w:num>
  <w:num w:numId="9">
    <w:abstractNumId w:val="7"/>
  </w:num>
  <w:num w:numId="10">
    <w:abstractNumId w:val="2"/>
  </w:num>
  <w:num w:numId="11">
    <w:abstractNumId w:val="4"/>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A3BE1"/>
    <w:rsid w:val="00027ADD"/>
    <w:rsid w:val="000728ED"/>
    <w:rsid w:val="000864E4"/>
    <w:rsid w:val="000874D4"/>
    <w:rsid w:val="000A343A"/>
    <w:rsid w:val="000A4E22"/>
    <w:rsid w:val="000F1CE0"/>
    <w:rsid w:val="000F1E66"/>
    <w:rsid w:val="0012744F"/>
    <w:rsid w:val="001877E7"/>
    <w:rsid w:val="00193C32"/>
    <w:rsid w:val="001945BD"/>
    <w:rsid w:val="001A719D"/>
    <w:rsid w:val="001B2EAD"/>
    <w:rsid w:val="001D41E9"/>
    <w:rsid w:val="001E7FEF"/>
    <w:rsid w:val="001F0BBF"/>
    <w:rsid w:val="001F180D"/>
    <w:rsid w:val="001F294D"/>
    <w:rsid w:val="00201909"/>
    <w:rsid w:val="0020754D"/>
    <w:rsid w:val="00211236"/>
    <w:rsid w:val="002175D3"/>
    <w:rsid w:val="0022003F"/>
    <w:rsid w:val="00221FBC"/>
    <w:rsid w:val="002327A5"/>
    <w:rsid w:val="002461A0"/>
    <w:rsid w:val="00250531"/>
    <w:rsid w:val="0027579A"/>
    <w:rsid w:val="00277811"/>
    <w:rsid w:val="002813B5"/>
    <w:rsid w:val="0029202B"/>
    <w:rsid w:val="002928AF"/>
    <w:rsid w:val="00295F12"/>
    <w:rsid w:val="002A3013"/>
    <w:rsid w:val="002A454E"/>
    <w:rsid w:val="002E64D9"/>
    <w:rsid w:val="002F0ED6"/>
    <w:rsid w:val="00305D78"/>
    <w:rsid w:val="00315EFF"/>
    <w:rsid w:val="003660F4"/>
    <w:rsid w:val="003665BB"/>
    <w:rsid w:val="00393268"/>
    <w:rsid w:val="003A6E07"/>
    <w:rsid w:val="003C7A58"/>
    <w:rsid w:val="003D2E25"/>
    <w:rsid w:val="003D31AD"/>
    <w:rsid w:val="003F38D8"/>
    <w:rsid w:val="00461757"/>
    <w:rsid w:val="00463CE3"/>
    <w:rsid w:val="00476E4F"/>
    <w:rsid w:val="004A7C5C"/>
    <w:rsid w:val="004C4054"/>
    <w:rsid w:val="004D204D"/>
    <w:rsid w:val="00515EBD"/>
    <w:rsid w:val="005262FE"/>
    <w:rsid w:val="00545D83"/>
    <w:rsid w:val="005575E5"/>
    <w:rsid w:val="005C7C98"/>
    <w:rsid w:val="005F45B9"/>
    <w:rsid w:val="005F6737"/>
    <w:rsid w:val="00604D58"/>
    <w:rsid w:val="00612323"/>
    <w:rsid w:val="00630D5A"/>
    <w:rsid w:val="006A09D8"/>
    <w:rsid w:val="006C46DE"/>
    <w:rsid w:val="006E1B89"/>
    <w:rsid w:val="006F369C"/>
    <w:rsid w:val="00702F26"/>
    <w:rsid w:val="00721224"/>
    <w:rsid w:val="00736FB0"/>
    <w:rsid w:val="00750AC7"/>
    <w:rsid w:val="0078104F"/>
    <w:rsid w:val="007A3BE1"/>
    <w:rsid w:val="007B67D9"/>
    <w:rsid w:val="007E1A4B"/>
    <w:rsid w:val="007F10B4"/>
    <w:rsid w:val="00805EFF"/>
    <w:rsid w:val="00816BE9"/>
    <w:rsid w:val="008755E1"/>
    <w:rsid w:val="00895AED"/>
    <w:rsid w:val="00916A6C"/>
    <w:rsid w:val="009303C2"/>
    <w:rsid w:val="00957D46"/>
    <w:rsid w:val="009966CF"/>
    <w:rsid w:val="009D2BE2"/>
    <w:rsid w:val="009F65DC"/>
    <w:rsid w:val="00A306B7"/>
    <w:rsid w:val="00A5607A"/>
    <w:rsid w:val="00AA2377"/>
    <w:rsid w:val="00AB1BB3"/>
    <w:rsid w:val="00AD2E9E"/>
    <w:rsid w:val="00AD7B09"/>
    <w:rsid w:val="00AE5618"/>
    <w:rsid w:val="00AE70FD"/>
    <w:rsid w:val="00B21BEC"/>
    <w:rsid w:val="00B453EF"/>
    <w:rsid w:val="00B51674"/>
    <w:rsid w:val="00B56854"/>
    <w:rsid w:val="00B63AC0"/>
    <w:rsid w:val="00B717F5"/>
    <w:rsid w:val="00BA42B9"/>
    <w:rsid w:val="00BB0049"/>
    <w:rsid w:val="00BC5874"/>
    <w:rsid w:val="00BD6875"/>
    <w:rsid w:val="00BE2536"/>
    <w:rsid w:val="00BE62E8"/>
    <w:rsid w:val="00C11B7D"/>
    <w:rsid w:val="00C15CD3"/>
    <w:rsid w:val="00C2434B"/>
    <w:rsid w:val="00C35B2B"/>
    <w:rsid w:val="00C36671"/>
    <w:rsid w:val="00C37031"/>
    <w:rsid w:val="00C44E42"/>
    <w:rsid w:val="00C51A61"/>
    <w:rsid w:val="00C74722"/>
    <w:rsid w:val="00CB7E85"/>
    <w:rsid w:val="00CC71B8"/>
    <w:rsid w:val="00CD10D0"/>
    <w:rsid w:val="00CD657C"/>
    <w:rsid w:val="00CE673A"/>
    <w:rsid w:val="00CF2B84"/>
    <w:rsid w:val="00D04593"/>
    <w:rsid w:val="00D31EEB"/>
    <w:rsid w:val="00D41AD0"/>
    <w:rsid w:val="00D471C7"/>
    <w:rsid w:val="00D535B9"/>
    <w:rsid w:val="00D6028C"/>
    <w:rsid w:val="00D61D29"/>
    <w:rsid w:val="00D64CB7"/>
    <w:rsid w:val="00D84BA0"/>
    <w:rsid w:val="00D95F14"/>
    <w:rsid w:val="00DA5DD4"/>
    <w:rsid w:val="00DB4F6D"/>
    <w:rsid w:val="00DB51A9"/>
    <w:rsid w:val="00DE5C2C"/>
    <w:rsid w:val="00DF07C7"/>
    <w:rsid w:val="00DF559C"/>
    <w:rsid w:val="00E063D5"/>
    <w:rsid w:val="00E06591"/>
    <w:rsid w:val="00E10ACC"/>
    <w:rsid w:val="00E1797F"/>
    <w:rsid w:val="00E33BF5"/>
    <w:rsid w:val="00E40A6A"/>
    <w:rsid w:val="00E7481D"/>
    <w:rsid w:val="00E90522"/>
    <w:rsid w:val="00F16854"/>
    <w:rsid w:val="00F33B21"/>
    <w:rsid w:val="00F40E15"/>
    <w:rsid w:val="00F52D89"/>
    <w:rsid w:val="00F54BD5"/>
    <w:rsid w:val="00F7413E"/>
    <w:rsid w:val="00F76E65"/>
    <w:rsid w:val="00FD4FCC"/>
    <w:rsid w:val="00FE43FC"/>
    <w:rsid w:val="00FE6D20"/>
    <w:rsid w:val="00FF78DF"/>
    <w:rsid w:val="00FF7A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BD772"/>
  <w15:docId w15:val="{C5BDD6FA-0BB8-4B85-B8EC-DD9068C7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F294D"/>
    <w:pPr>
      <w:jc w:val="both"/>
    </w:pPr>
    <w:rPr>
      <w:rFonts w:ascii="Arial" w:hAnsi="Arial" w:cs="Arial"/>
      <w:color w:val="000000"/>
      <w:sz w:val="22"/>
      <w:szCs w:val="24"/>
      <w:lang w:eastAsia="de-DE"/>
    </w:rPr>
  </w:style>
  <w:style w:type="paragraph" w:styleId="berschrift1">
    <w:name w:val="heading 1"/>
    <w:basedOn w:val="Standard"/>
    <w:next w:val="Standard"/>
    <w:qFormat/>
    <w:rsid w:val="001F294D"/>
    <w:pPr>
      <w:keepNext/>
      <w:outlineLvl w:val="0"/>
    </w:pPr>
    <w:rPr>
      <w:b/>
      <w:bCs/>
      <w:color w:val="auto"/>
      <w:sz w:val="24"/>
    </w:rPr>
  </w:style>
  <w:style w:type="paragraph" w:styleId="berschrift2">
    <w:name w:val="heading 2"/>
    <w:basedOn w:val="Standard"/>
    <w:next w:val="Standard"/>
    <w:qFormat/>
    <w:rsid w:val="001F294D"/>
    <w:pPr>
      <w:keepNext/>
      <w:spacing w:before="720" w:after="240"/>
      <w:ind w:left="539" w:hanging="539"/>
      <w:outlineLvl w:val="1"/>
    </w:pPr>
    <w:rPr>
      <w:b/>
      <w:bCs/>
      <w:color w:val="auto"/>
      <w:sz w:val="24"/>
    </w:rPr>
  </w:style>
  <w:style w:type="paragraph" w:styleId="berschrift3">
    <w:name w:val="heading 3"/>
    <w:basedOn w:val="Standard"/>
    <w:next w:val="Standard"/>
    <w:qFormat/>
    <w:rsid w:val="001F294D"/>
    <w:pPr>
      <w:keepNext/>
      <w:spacing w:before="480" w:after="360"/>
      <w:outlineLvl w:val="2"/>
    </w:pPr>
    <w:rPr>
      <w:b/>
      <w:bCs/>
      <w:color w:val="auto"/>
    </w:rPr>
  </w:style>
  <w:style w:type="paragraph" w:styleId="berschrift4">
    <w:name w:val="heading 4"/>
    <w:basedOn w:val="Standard"/>
    <w:next w:val="Standard"/>
    <w:qFormat/>
    <w:rsid w:val="001F294D"/>
    <w:pPr>
      <w:keepNext/>
      <w:spacing w:after="240"/>
      <w:ind w:left="540" w:hanging="540"/>
      <w:outlineLvl w:val="3"/>
    </w:pPr>
    <w:rPr>
      <w:b/>
      <w:bCs/>
      <w:color w:val="auto"/>
      <w:sz w:val="24"/>
    </w:rPr>
  </w:style>
  <w:style w:type="paragraph" w:styleId="berschrift5">
    <w:name w:val="heading 5"/>
    <w:basedOn w:val="Standard"/>
    <w:next w:val="Standard"/>
    <w:qFormat/>
    <w:rsid w:val="001F294D"/>
    <w:pPr>
      <w:keepNext/>
      <w:spacing w:after="360"/>
      <w:jc w:val="center"/>
      <w:outlineLvl w:val="4"/>
    </w:pPr>
    <w:rPr>
      <w:b/>
      <w:bCs/>
      <w:color w:val="auto"/>
      <w:sz w:val="24"/>
    </w:rPr>
  </w:style>
  <w:style w:type="paragraph" w:styleId="berschrift6">
    <w:name w:val="heading 6"/>
    <w:basedOn w:val="Standard"/>
    <w:next w:val="Standard"/>
    <w:qFormat/>
    <w:rsid w:val="001F294D"/>
    <w:pPr>
      <w:keepNext/>
      <w:spacing w:before="480" w:after="480"/>
      <w:ind w:left="539" w:hanging="539"/>
      <w:outlineLvl w:val="5"/>
    </w:pPr>
    <w:rPr>
      <w:b/>
      <w:bCs/>
      <w:color w:val="auto"/>
    </w:rPr>
  </w:style>
  <w:style w:type="paragraph" w:styleId="berschrift7">
    <w:name w:val="heading 7"/>
    <w:basedOn w:val="Standard"/>
    <w:next w:val="Standard"/>
    <w:qFormat/>
    <w:rsid w:val="001F294D"/>
    <w:pPr>
      <w:keepNext/>
      <w:outlineLvl w:val="6"/>
    </w:pPr>
    <w:rPr>
      <w:b/>
      <w:bCs/>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1F294D"/>
    <w:pPr>
      <w:tabs>
        <w:tab w:val="center" w:pos="4536"/>
        <w:tab w:val="right" w:pos="9072"/>
      </w:tabs>
    </w:pPr>
  </w:style>
  <w:style w:type="paragraph" w:styleId="Kopfzeile">
    <w:name w:val="header"/>
    <w:basedOn w:val="Standard"/>
    <w:rsid w:val="001F294D"/>
    <w:pPr>
      <w:tabs>
        <w:tab w:val="center" w:pos="4536"/>
        <w:tab w:val="right" w:pos="9072"/>
      </w:tabs>
    </w:pPr>
    <w:rPr>
      <w:rFonts w:ascii="Times New Roman" w:hAnsi="Times New Roman" w:cs="Times New Roman"/>
      <w:color w:val="auto"/>
      <w:sz w:val="24"/>
    </w:rPr>
  </w:style>
  <w:style w:type="character" w:styleId="Funotenzeichen">
    <w:name w:val="footnote reference"/>
    <w:basedOn w:val="Absatz-Standardschriftart"/>
    <w:semiHidden/>
    <w:rsid w:val="001F294D"/>
    <w:rPr>
      <w:vertAlign w:val="superscript"/>
    </w:rPr>
  </w:style>
  <w:style w:type="paragraph" w:styleId="Textkrper">
    <w:name w:val="Body Text"/>
    <w:basedOn w:val="Standard"/>
    <w:rsid w:val="001F294D"/>
    <w:pPr>
      <w:spacing w:after="240"/>
    </w:pPr>
    <w:rPr>
      <w:color w:val="auto"/>
      <w:sz w:val="24"/>
    </w:rPr>
  </w:style>
  <w:style w:type="paragraph" w:styleId="Textkrper2">
    <w:name w:val="Body Text 2"/>
    <w:basedOn w:val="Standard"/>
    <w:rsid w:val="001F294D"/>
    <w:pPr>
      <w:spacing w:after="360"/>
    </w:pPr>
    <w:rPr>
      <w:color w:val="auto"/>
    </w:rPr>
  </w:style>
  <w:style w:type="paragraph" w:styleId="Textkrper-Zeileneinzug">
    <w:name w:val="Body Text Indent"/>
    <w:basedOn w:val="Standard"/>
    <w:rsid w:val="001F294D"/>
    <w:pPr>
      <w:spacing w:after="120"/>
      <w:ind w:left="539" w:hanging="539"/>
    </w:pPr>
    <w:rPr>
      <w:color w:val="auto"/>
      <w:lang w:val="de-DE"/>
    </w:rPr>
  </w:style>
  <w:style w:type="paragraph" w:styleId="Textkrper-Einzug2">
    <w:name w:val="Body Text Indent 2"/>
    <w:basedOn w:val="Standard"/>
    <w:rsid w:val="001F294D"/>
    <w:pPr>
      <w:spacing w:after="360"/>
      <w:ind w:left="540" w:hanging="540"/>
    </w:pPr>
    <w:rPr>
      <w:color w:val="auto"/>
    </w:rPr>
  </w:style>
  <w:style w:type="paragraph" w:styleId="Funotentext">
    <w:name w:val="footnote text"/>
    <w:basedOn w:val="Standard"/>
    <w:semiHidden/>
    <w:rsid w:val="001F294D"/>
    <w:pPr>
      <w:ind w:left="540" w:hanging="540"/>
    </w:pPr>
    <w:rPr>
      <w:color w:val="auto"/>
      <w:sz w:val="18"/>
      <w:szCs w:val="20"/>
    </w:rPr>
  </w:style>
  <w:style w:type="character" w:styleId="Seitenzahl">
    <w:name w:val="page number"/>
    <w:basedOn w:val="Absatz-Standardschriftart"/>
    <w:rsid w:val="001F294D"/>
  </w:style>
  <w:style w:type="paragraph" w:styleId="StandardWeb">
    <w:name w:val="Normal (Web)"/>
    <w:basedOn w:val="Standard"/>
    <w:rsid w:val="001F294D"/>
    <w:pPr>
      <w:spacing w:before="100" w:beforeAutospacing="1" w:after="100" w:afterAutospacing="1"/>
    </w:pPr>
    <w:rPr>
      <w:rFonts w:ascii="Times New Roman" w:hAnsi="Times New Roman" w:cs="Times New Roman"/>
      <w:color w:val="auto"/>
      <w:sz w:val="24"/>
    </w:rPr>
  </w:style>
  <w:style w:type="character" w:styleId="Hyperlink">
    <w:name w:val="Hyperlink"/>
    <w:basedOn w:val="Absatz-Standardschriftart"/>
    <w:rsid w:val="001F294D"/>
    <w:rPr>
      <w:color w:val="0000FF"/>
      <w:u w:val="single"/>
    </w:rPr>
  </w:style>
  <w:style w:type="paragraph" w:styleId="Titel">
    <w:name w:val="Title"/>
    <w:basedOn w:val="Standard"/>
    <w:qFormat/>
    <w:rsid w:val="001F294D"/>
    <w:pPr>
      <w:jc w:val="center"/>
    </w:pPr>
    <w:rPr>
      <w:b/>
      <w:bCs/>
      <w:sz w:val="28"/>
    </w:rPr>
  </w:style>
  <w:style w:type="paragraph" w:customStyle="1" w:styleId="00Vorgabetext">
    <w:name w:val="00 Vorgabetext"/>
    <w:basedOn w:val="Standard"/>
    <w:rsid w:val="00C35B2B"/>
  </w:style>
  <w:style w:type="paragraph" w:styleId="Sprechblasentext">
    <w:name w:val="Balloon Text"/>
    <w:basedOn w:val="Standard"/>
    <w:link w:val="SprechblasentextZchn"/>
    <w:semiHidden/>
    <w:unhideWhenUsed/>
    <w:rsid w:val="003660F4"/>
    <w:rPr>
      <w:rFonts w:ascii="Segoe UI" w:hAnsi="Segoe UI" w:cs="Segoe UI"/>
      <w:sz w:val="18"/>
      <w:szCs w:val="18"/>
    </w:rPr>
  </w:style>
  <w:style w:type="character" w:customStyle="1" w:styleId="SprechblasentextZchn">
    <w:name w:val="Sprechblasentext Zchn"/>
    <w:basedOn w:val="Absatz-Standardschriftart"/>
    <w:link w:val="Sprechblasentext"/>
    <w:semiHidden/>
    <w:rsid w:val="003660F4"/>
    <w:rPr>
      <w:rFonts w:ascii="Segoe UI" w:hAnsi="Segoe UI" w:cs="Segoe UI"/>
      <w:color w:val="000000"/>
      <w:sz w:val="18"/>
      <w:szCs w:val="18"/>
      <w:lang w:eastAsia="de-DE"/>
    </w:rPr>
  </w:style>
  <w:style w:type="paragraph" w:styleId="Listenabsatz">
    <w:name w:val="List Paragraph"/>
    <w:basedOn w:val="Standard"/>
    <w:uiPriority w:val="34"/>
    <w:qFormat/>
    <w:rsid w:val="001945BD"/>
    <w:pPr>
      <w:ind w:left="720"/>
      <w:contextualSpacing/>
    </w:pPr>
  </w:style>
  <w:style w:type="character" w:styleId="Kommentarzeichen">
    <w:name w:val="annotation reference"/>
    <w:basedOn w:val="Absatz-Standardschriftart"/>
    <w:semiHidden/>
    <w:unhideWhenUsed/>
    <w:rsid w:val="00957D46"/>
    <w:rPr>
      <w:sz w:val="16"/>
      <w:szCs w:val="16"/>
    </w:rPr>
  </w:style>
  <w:style w:type="paragraph" w:styleId="Kommentartext">
    <w:name w:val="annotation text"/>
    <w:basedOn w:val="Standard"/>
    <w:link w:val="KommentartextZchn"/>
    <w:semiHidden/>
    <w:unhideWhenUsed/>
    <w:rsid w:val="00957D46"/>
    <w:rPr>
      <w:sz w:val="20"/>
      <w:szCs w:val="20"/>
    </w:rPr>
  </w:style>
  <w:style w:type="character" w:customStyle="1" w:styleId="KommentartextZchn">
    <w:name w:val="Kommentartext Zchn"/>
    <w:basedOn w:val="Absatz-Standardschriftart"/>
    <w:link w:val="Kommentartext"/>
    <w:semiHidden/>
    <w:rsid w:val="00957D46"/>
    <w:rPr>
      <w:rFonts w:ascii="Arial" w:hAnsi="Arial" w:cs="Arial"/>
      <w:color w:val="000000"/>
      <w:lang w:eastAsia="de-DE"/>
    </w:rPr>
  </w:style>
  <w:style w:type="paragraph" w:styleId="Kommentarthema">
    <w:name w:val="annotation subject"/>
    <w:basedOn w:val="Kommentartext"/>
    <w:next w:val="Kommentartext"/>
    <w:link w:val="KommentarthemaZchn"/>
    <w:semiHidden/>
    <w:unhideWhenUsed/>
    <w:rsid w:val="00957D46"/>
    <w:rPr>
      <w:b/>
      <w:bCs/>
    </w:rPr>
  </w:style>
  <w:style w:type="character" w:customStyle="1" w:styleId="KommentarthemaZchn">
    <w:name w:val="Kommentarthema Zchn"/>
    <w:basedOn w:val="KommentartextZchn"/>
    <w:link w:val="Kommentarthema"/>
    <w:semiHidden/>
    <w:rsid w:val="00957D46"/>
    <w:rPr>
      <w:rFonts w:ascii="Arial" w:hAnsi="Arial" w:cs="Arial"/>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18FB3-F5B9-44E6-8CA1-BA44A88D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2400</Words>
  <Characters>16550</Characters>
  <Application>Microsoft Office Word</Application>
  <DocSecurity>0</DocSecurity>
  <Lines>137</Lines>
  <Paragraphs>37</Paragraphs>
  <ScaleCrop>false</ScaleCrop>
  <HeadingPairs>
    <vt:vector size="2" baseType="variant">
      <vt:variant>
        <vt:lpstr>Titel</vt:lpstr>
      </vt:variant>
      <vt:variant>
        <vt:i4>1</vt:i4>
      </vt:variant>
    </vt:vector>
  </HeadingPairs>
  <TitlesOfParts>
    <vt:vector size="1" baseType="lpstr">
      <vt:lpstr>Musterstatuten-GmbH</vt:lpstr>
    </vt:vector>
  </TitlesOfParts>
  <Company>DJI</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Musterstatuten-GmbH</dc:title>
  <dc:creator>B203PZE</dc:creator>
  <cp:lastModifiedBy>B203PHR</cp:lastModifiedBy>
  <cp:revision>5</cp:revision>
  <cp:lastPrinted>2022-11-08T12:54:00Z</cp:lastPrinted>
  <dcterms:created xsi:type="dcterms:W3CDTF">2023-06-05T06:11:00Z</dcterms:created>
  <dcterms:modified xsi:type="dcterms:W3CDTF">2023-06-09T13:29:00Z</dcterms:modified>
</cp:coreProperties>
</file>