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11</w:t>
      </w:r>
      <w:r>
        <w:t xml:space="preserve"> </w:t>
      </w:r>
      <w:r>
        <w:t xml:space="preserve">December,</w:t>
      </w:r>
      <w:r>
        <w:t xml:space="preserve"> </w:t>
      </w:r>
      <w:r>
        <w:t xml:space="preserve">2015</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 a mailing list strongly associated with the Ecological Society of America, we examine patterns of hiring for graduate and tenure track positions. We use text mining and a machine learning algorithm (random forest), trained on manually classified data to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sciences,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introduction"/>
      <w:bookmarkEnd w:id="24"/>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improved access to data and tools that allow researcheres to address the complex set of problems facing modern ecologists, where biological responses intersect with land use change, climate change, changes in biogeophysical processes, and human interactions</w:t>
      </w:r>
      <w:r>
        <w:t xml:space="preserve"> </w:t>
      </w:r>
      <w:r>
        <w:t xml:space="preserve">(Basche et al. 2014, dawson2011beyond; Goring et al. 2014, Heffernan et al. 2014, White et al. 2015)</w:t>
      </w:r>
      <w:r>
        <w:t xml:space="preserve">. To help support the increased need for interdisciplinary approaches in research, a number of training programs and funding sources have been structured to address needs at the graduate and post-doctoral level</w:t>
      </w:r>
      <w:r>
        <w:t xml:space="preserve"> </w:t>
      </w:r>
      <w:r>
        <w:t xml:space="preserve">(Schmidt et al. 2012, Wagner et al. 2012, Hibbert et al. 2014, Stamp et al. 2015)</w:t>
      </w:r>
      <w:r>
        <w:t xml:space="preserve">, and new models for promoting interdisciplinary work within academia have been proposed</w:t>
      </w:r>
      <w:r>
        <w:t xml:space="preserve"> </w:t>
      </w:r>
      <w:r>
        <w:t xml:space="preserve">(Goring et al. 2014)</w:t>
      </w:r>
      <w:r>
        <w:t xml:space="preserve">, but challenges and questions remain.</w:t>
      </w:r>
    </w:p>
    <w:p>
      <w:pPr>
        <w:pStyle w:val="BodyText"/>
      </w:pPr>
      <w:r>
        <w:t xml:space="preserve">Perceptions of risk for researchers engaged in interdisciplinary research are real</w:t>
      </w:r>
      <w:r>
        <w:t xml:space="preserve"> </w:t>
      </w:r>
      <w:r>
        <w:t xml:space="preserve">(Fischer et al. 2012)</w:t>
      </w:r>
      <w:r>
        <w:t xml:space="preserve">, particularly for early career researchers, and must be addressed within academia. These risks are often balanced by the promise of doing exciting work, greater likelihood of future collaboration</w:t>
      </w:r>
      <w:r>
        <w:t xml:space="preserve"> </w:t>
      </w:r>
      <w:r>
        <w:t xml:space="preserve">(Hampton and Parker 2011)</w:t>
      </w:r>
      <w:r>
        <w:t xml:space="preserve"> </w:t>
      </w:r>
      <w:r>
        <w:t xml:space="preserve">and others (</w:t>
      </w:r>
      <w:r>
        <w:rPr>
          <w:i/>
        </w:rPr>
        <w:t xml:space="preserve">need to fill out - ending on "and others" is a weak statement</w:t>
      </w:r>
      <w:r>
        <w:t xml:space="preserve">). Hibbert</w:t>
      </w:r>
      <w:r>
        <w:t xml:space="preserve"> </w:t>
      </w:r>
      <w:r>
        <w:rPr>
          <w:i/>
        </w:rPr>
        <w:t xml:space="preserve">et al</w:t>
      </w:r>
      <w:r>
        <w:t xml:space="preserve">.</w:t>
      </w:r>
      <w:r>
        <w:t xml:space="preserve"> </w:t>
      </w:r>
      <w:r>
        <w:t xml:space="preserve">(2014)</w:t>
      </w:r>
      <w:r>
        <w:t xml:space="preserve"> </w:t>
      </w:r>
      <w:r>
        <w:t xml:space="preserve">decribe the optimism of Doctoral students who feel that their interdisciplinary experience has created a unique niche for them through narrative analysis, but also indicate that interdisciplinary students may feel lost on their "quest" without adequate supervision. Ultimately, it is unclear the extent to which the trend toward increasing interdisciplinarity within graduate training programs is playing itself out at the faculty level. Certainly, interdisciplinary programs provide greater support for non-traditional outcomes for many of their students, but interdisciplinary research is often supported by tenured or tenure track researchers who may or may not themselves be a product of interdisciplinary research programs.</w:t>
      </w:r>
    </w:p>
    <w:p>
      <w:pPr>
        <w:pStyle w:val="BodyText"/>
      </w:pPr>
      <w:r>
        <w:rPr>
          <w:b/>
        </w:rPr>
        <w:t xml:space="preserve">I need to address some of the simplifications I'm making here.</w:t>
      </w:r>
    </w:p>
    <w:p>
      <w:pPr>
        <w:pStyle w:val="BodyText"/>
      </w:pPr>
      <w:r>
        <w:drawing>
          <wp:inline>
            <wp:extent cx="5334000" cy="1270614"/>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5"/>
                    <a:stretch>
                      <a:fillRect/>
                    </a:stretch>
                  </pic:blipFill>
                  <pic:spPr bwMode="auto">
                    <a:xfrm>
                      <a:off x="0" y="0"/>
                      <a:ext cx="5334000" cy="1270614"/>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by tenured researchers (upper row), red lines represent hiring of untenured (postdoctoral &amp; graduate researchers; lower row). We use squares to represent interdisciplinary researchers and circles to represent researchers who may be considered "disciplinary". Model (a) represents a system where non-tenured researchers (lower row) carry out interdisciplinary research, but disciplinary researchers are strongly favored for tenure track positions. Model (b) indicates some role for interdisciplinary researchers, but this role is stable through time. Model (c) indicates that current interest in interdisciplinarity carries through to hiring at the tenure track level.</w:t>
      </w:r>
    </w:p>
    <w:p>
      <w:pPr>
        <w:pStyle w:val="BodyText"/>
      </w:pPr>
      <w:r>
        <w:t xml:space="preserve">It is possible to conceptualize multiple "preferred" models for interdisciplinary research at the institutional level. One model involves deeply disciplinary researchers collaborating on a project and hiring graduate or postdoctoral researchers who will act as the disciplinary bridges. In this preferred model we might believe that tenure-track or tenured researchers would prefer colleagues who may appear more deeply disciplinary than interdisciplinary. We represent this model in Fig 1a, where hiring is largely drawn from disciplinary (circles) researchers, and interdisciplinary collaboration is undertaken by interdisciplinary graduate students. Here we might predict that hiring for tenure-track interdisciplinary researchers would remain low, and be relatively unchanged through time.</w:t>
      </w:r>
    </w:p>
    <w:p>
      <w:pPr>
        <w:pStyle w:val="BodyText"/>
      </w:pPr>
      <w:r>
        <w:t xml:space="preserve">The second model (Figure 1b) conceptualizes a balanced model, where embedded interdisciplinary researchers are replaced by interdisciplinary researchers, and elsewhere disciplinary researchers are hired. This model then predicts that hiring of tenure-track interdisciplinary researchers will remain low and stable through time.</w:t>
      </w:r>
    </w:p>
    <w:p>
      <w:pPr>
        <w:pStyle w:val="BodyText"/>
      </w:pPr>
      <w:r>
        <w:t xml:space="preserve">The third model suggests that recent funding initiatives via largely interdisciplinary programs (</w:t>
      </w:r>
      <w:r>
        <w:rPr>
          <w:i/>
        </w:rPr>
        <w:t xml:space="preserve">e.g.</w:t>
      </w:r>
      <w:r>
        <w:t xml:space="preserve">, NSF's Macrosystems Biology, EarthCube, Coupled Human Systems &amp; others) would lead to the increased hiring of tenure-track interdisciplinary researchers through time.</w:t>
      </w:r>
    </w:p>
    <w:p>
      <w:pPr>
        <w:pStyle w:val="BodyText"/>
      </w:pPr>
      <w:r>
        <w:t xml:space="preserve">ECOLOG-L (refered hereafter as Ecolog) is a listserve that essentially acts as a massive, unmoderated group blog (currently has XX,XXX subscribers, &gt;20,000?)</w:t>
      </w:r>
      <w:r>
        <w:t xml:space="preserve"> </w:t>
      </w:r>
      <w:hyperlink r:id="rId26">
        <w:r>
          <w:rPr>
            <w:rStyle w:val="Hyperlink"/>
          </w:rPr>
          <w:t xml:space="preserve">run by David Inouye since the early 1990s</w:t>
        </w:r>
      </w:hyperlink>
      <w:r>
        <w:t xml:space="preserve"> </w:t>
      </w:r>
      <w:r>
        <w:t xml:space="preserve">and hosted by the University of Maryland. It is</w:t>
      </w:r>
      <w:r>
        <w:t xml:space="preserve"> </w:t>
      </w:r>
      <w:hyperlink r:id="rId27">
        <w:r>
          <w:rPr>
            <w:rStyle w:val="Hyperlink"/>
          </w:rPr>
          <w:t xml:space="preserve">unofficially affiliated with the Ecological Society of America</w:t>
        </w:r>
      </w:hyperlink>
      <w:r>
        <w:t xml:space="preserve">, and is recognized as one of the largest aggregators for ecology grants, jobs, news, announcements, and discussion threads. Anyone can view posts, or register and contribute to posts for free. Jobs posted to Ecolog-L are almost certainly biased to jobs in the United States, but frequently include international listings as well. Here, we use posts from Ecolog-L from January 2000-January 2015 as representative of trends in graduate and postdoctoral vs. tenure-track job markets.</w:t>
      </w:r>
    </w:p>
    <w:p>
      <w:pPr>
        <w:pStyle w:val="BodyText"/>
      </w:pPr>
      <w:r>
        <w:t xml:space="preserve">Here, we aim to test whether increased training at the graduate and postdoctoral levels are translating into increased hiring rates for tenure-track faculty with interdisciplinary backgrounds. Using job postings from ECOLOG (</w:t>
      </w:r>
      <w:hyperlink r:id="rId28">
        <w:r>
          <w:rPr>
            <w:rStyle w:val="Hyperlink"/>
          </w:rPr>
          <w:t xml:space="preserve">https://listserv.umd.edu/archives/ecolog-l.html</w:t>
        </w:r>
      </w:hyperlink>
      <w:r>
        <w:t xml:space="preserve">)[] we classify and assess the rates of change in job postings for graduate, postdoctoral and tenure track positions, both with and without interdisciplinary focus. Using relative rates of posting</w:t>
      </w:r>
    </w:p>
    <w:p>
      <w:pPr>
        <w:pStyle w:val="Heading2"/>
      </w:pPr>
      <w:bookmarkStart w:id="29" w:name="methods"/>
      <w:bookmarkEnd w:id="29"/>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Because of the volume of messages, we removed all sparse terms, retaining only the top 1% by count.</w:t>
      </w:r>
    </w:p>
    <w:p>
      <w:pPr>
        <w:pStyle w:val="BodyText"/>
      </w:pPr>
      <w:r>
        <w:t xml:space="preserve">We classified a number of records by hand using a Shiny application (available publically</w:t>
      </w:r>
      <w:r>
        <w:t xml:space="preserve"> </w:t>
      </w:r>
      <w:hyperlink r:id="rId30">
        <w:r>
          <w:rPr>
            <w:rStyle w:val="Hyperlink"/>
          </w:rPr>
          <w:t xml:space="preserve">here</w:t>
        </w:r>
      </w:hyperlink>
      <w:r>
        <w:t xml:space="preserve">). Messages were identified as academic job ads, non-academic job ads (generally), and non job postings. Academic job adds were classified into graduate, postdoctoral, and tenure track positions, and then also classified as interdisciplinary or not. In addition, we provided the opportunity to classify salary type, but do not present this data here.</w:t>
      </w:r>
    </w:p>
    <w:p>
      <w:pPr>
        <w:pStyle w:val="BodyText"/>
      </w:pPr>
      <w:r>
        <w:t xml:space="preserve">Using the surveyed messages (</w:t>
      </w:r>
      <w:r>
        <w:rPr>
          <w:i/>
        </w:rPr>
        <w:t xml:space="preserve">n</w:t>
      </w:r>
      <w:r>
        <w:t xml:space="preserve"> </w:t>
      </w:r>
      <w:r>
        <w:t xml:space="preserve">= 4284), we built a model using a random forest to classify messages as tenure track jobs, postdoctoral positions and graduate positions, and to test whether messages indicate interdisciplinarity (package</w:t>
      </w:r>
      <w:r>
        <w:t xml:space="preserve"> </w:t>
      </w:r>
      <w:r>
        <w:rPr>
          <w:i/>
        </w:rPr>
        <w:t xml:space="preserve">randomForest</w:t>
      </w:r>
      <w:r>
        <w:t xml:space="preserve">;</w:t>
      </w:r>
      <w:r>
        <w:t xml:space="preserve"> </w:t>
      </w:r>
      <w:r>
        <w:t xml:space="preserve">(Liaw and Wiener 2002)</w:t>
      </w:r>
      <w:r>
        <w:t xml:space="preserve">). Based on the model constructed we then predict the class of the remaining messages to build a time series of job ads. Since hand coding messages was an iterative process, we used the confusion matrix from the predictive models to weight the messages selected for display and classification. Messages that were predicted to be interdisciplinary from the partial models were weighted most highly, as were messages with high rates of confusion for tenure track, postdoctoral or graduate positions.</w:t>
      </w:r>
    </w:p>
    <w:p>
      <w:pPr>
        <w:pStyle w:val="BodyText"/>
      </w:pPr>
      <w:r>
        <w:t xml:space="preserve">From the final model we then tracked the rate of change in the classified messages. Modeling uses a binomial generalized additive model predicting the probability that a message is tenure-track, graduate or postdoctoral, and whether that message is interdisciplinary.</w:t>
      </w:r>
    </w:p>
    <w:p>
      <w:pPr>
        <w:pStyle w:val="Heading2"/>
      </w:pPr>
      <w:bookmarkStart w:id="31" w:name="results"/>
      <w:bookmarkEnd w:id="31"/>
      <w:r>
        <w:t xml:space="preserve">Results</w:t>
      </w:r>
    </w:p>
    <w:p>
      <w:pPr>
        <w:pStyle w:val="FirstParagraph"/>
      </w:pPr>
      <w:r>
        <w:t xml:space="preserve">Once we pull the messages from ECOLOG we find that we obtain 50154 messages. We clean the text in these messages to remove punctuation, extra whitespace, HTML tags, stop words and numbers using the</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This leaves us with a set of 1474 terms.</w:t>
      </w:r>
    </w:p>
    <w:p>
      <w:pPr>
        <w:pStyle w:val="BodyText"/>
      </w:pPr>
      <w:r>
        <w:t xml:space="preserve">The frequency of terms in the ECOLOG corpus follows a log distribution. The most frequent terms ('will', n=8.4508</w:t>
      </w:r>
      <w:r>
        <w:t xml:space="preserve">10^{4}; 'research', n=6.6747</w:t>
      </w:r>
      <w:r>
        <w:t xml:space="preserve">10^{4}; university, n=NA; 'field', n=3.6901</w:t>
      </w:r>
      <w:r>
        <w:t xml:space="preserve">10^{4}; and 'ecology', n=NA) have much higher frequencies than the mean (</w:t>
      </w:r>
      <m:oMath>
        <m:sSub>
          <m:e>
            <m:r>
              <m:rPr/>
              <m:t>u</m:t>
            </m:r>
          </m:e>
          <m:sub>
            <m:r>
              <m:rPr/>
              <m:t>t</m:t>
            </m:r>
            <m:r>
              <m:rPr/>
              <m:t>e</m:t>
            </m:r>
            <m:r>
              <m:rPr/>
              <m:t>r</m:t>
            </m:r>
            <m:r>
              <m:rPr/>
              <m:t>m</m:t>
            </m:r>
            <m:r>
              <m:rPr/>
              <m:t>s</m:t>
            </m:r>
          </m:sub>
        </m:sSub>
      </m:oMath>
      <w:r>
        <w:t xml:space="preserve"> </w:t>
      </w:r>
      <w:r>
        <w:t xml:space="preserve">= 3474.7795115). Because the term matrix was constrained to the top 1% of all terms, the least common words in the term matrix ('enjoy', 'helpful' and 'speaking') still occur several hundreds of times (all n=592).</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35.6</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32.2</w:t>
            </w:r>
          </w:p>
        </w:tc>
        <w:tc>
          <w:p>
            <w:pPr>
              <w:pStyle w:val="Compact"/>
              <w:jc w:val="center"/>
            </w:pPr>
            <w:r>
              <w:t xml:space="preserve">50.6</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37.9</w:t>
            </w:r>
          </w:p>
        </w:tc>
        <w:tc>
          <w:p>
            <w:pPr>
              <w:pStyle w:val="Compact"/>
              <w:jc w:val="center"/>
            </w:pPr>
            <w:r>
              <w:t xml:space="preserve">51.7</w:t>
            </w:r>
          </w:p>
        </w:tc>
        <w:tc>
          <w:p>
            <w:pPr>
              <w:pStyle w:val="Compact"/>
              <w:jc w:val="center"/>
            </w:pPr>
            <w:r>
              <w:t xml:space="preserve">50.6</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r>
        <w:t xml:space="preserve"> </w:t>
      </w:r>
      <w:r>
        <w:rPr>
          <w:i/>
        </w:rPr>
        <w:t xml:space="preserve">Confusion matrix for the complete random forest model. Rows represent sums of hand-classified data</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196</w:t>
            </w:r>
          </w:p>
        </w:tc>
        <w:tc>
          <w:p>
            <w:pPr>
              <w:pStyle w:val="Compact"/>
              <w:jc w:val="center"/>
            </w:pPr>
            <w:r>
              <w:t xml:space="preserve">43</w:t>
            </w:r>
          </w:p>
        </w:tc>
        <w:tc>
          <w:p>
            <w:pPr>
              <w:pStyle w:val="Compact"/>
              <w:jc w:val="center"/>
            </w:pPr>
            <w:r>
              <w:t xml:space="preserve">25</w:t>
            </w:r>
          </w:p>
        </w:tc>
        <w:tc>
          <w:p>
            <w:pPr>
              <w:pStyle w:val="Compact"/>
              <w:jc w:val="center"/>
            </w:pPr>
            <w:r>
              <w:t xml:space="preserve">7</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0.28</w:t>
            </w:r>
          </w:p>
        </w:tc>
      </w:tr>
      <w:tr>
        <w:tc>
          <w:p>
            <w:pPr>
              <w:pStyle w:val="Compact"/>
              <w:jc w:val="center"/>
            </w:pPr>
            <w:r>
              <w:rPr>
                <w:b/>
              </w:rPr>
              <w:t xml:space="preserve">GR_Int</w:t>
            </w:r>
          </w:p>
        </w:tc>
        <w:tc>
          <w:p>
            <w:pPr>
              <w:pStyle w:val="Compact"/>
              <w:jc w:val="center"/>
            </w:pPr>
            <w:r>
              <w:t xml:space="preserve">18</w:t>
            </w:r>
          </w:p>
        </w:tc>
        <w:tc>
          <w:p>
            <w:pPr>
              <w:pStyle w:val="Compact"/>
              <w:jc w:val="center"/>
            </w:pPr>
            <w:r>
              <w:t xml:space="preserve">58</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0.28</w:t>
            </w:r>
          </w:p>
        </w:tc>
      </w:tr>
      <w:tr>
        <w:tc>
          <w:p>
            <w:pPr>
              <w:pStyle w:val="Compact"/>
              <w:jc w:val="center"/>
            </w:pPr>
            <w:r>
              <w:rPr>
                <w:b/>
              </w:rPr>
              <w:t xml:space="preserve">Other</w:t>
            </w:r>
          </w:p>
        </w:tc>
        <w:tc>
          <w:p>
            <w:pPr>
              <w:pStyle w:val="Compact"/>
              <w:jc w:val="center"/>
            </w:pPr>
            <w:r>
              <w:t xml:space="preserve">317</w:t>
            </w:r>
          </w:p>
        </w:tc>
        <w:tc>
          <w:p>
            <w:pPr>
              <w:pStyle w:val="Compact"/>
              <w:jc w:val="center"/>
            </w:pPr>
            <w:r>
              <w:t xml:space="preserve">56</w:t>
            </w:r>
          </w:p>
        </w:tc>
        <w:tc>
          <w:p>
            <w:pPr>
              <w:pStyle w:val="Compact"/>
              <w:jc w:val="center"/>
            </w:pPr>
            <w:r>
              <w:t xml:space="preserve">2484</w:t>
            </w:r>
          </w:p>
        </w:tc>
        <w:tc>
          <w:p>
            <w:pPr>
              <w:pStyle w:val="Compact"/>
              <w:jc w:val="center"/>
            </w:pPr>
            <w:r>
              <w:t xml:space="preserve">90</w:t>
            </w:r>
          </w:p>
        </w:tc>
        <w:tc>
          <w:p>
            <w:pPr>
              <w:pStyle w:val="Compact"/>
              <w:jc w:val="center"/>
            </w:pPr>
            <w:r>
              <w:t xml:space="preserve">76</w:t>
            </w:r>
          </w:p>
        </w:tc>
        <w:tc>
          <w:p>
            <w:pPr>
              <w:pStyle w:val="Compact"/>
              <w:jc w:val="center"/>
            </w:pPr>
            <w:r>
              <w:t xml:space="preserve">89</w:t>
            </w:r>
          </w:p>
        </w:tc>
        <w:tc>
          <w:p>
            <w:pPr>
              <w:pStyle w:val="Compact"/>
              <w:jc w:val="center"/>
            </w:pPr>
            <w:r>
              <w:t xml:space="preserve">34</w:t>
            </w:r>
          </w:p>
        </w:tc>
        <w:tc>
          <w:p>
            <w:pPr>
              <w:pStyle w:val="Compact"/>
              <w:jc w:val="center"/>
            </w:pPr>
            <w:r>
              <w:t xml:space="preserve">0.21</w:t>
            </w:r>
          </w:p>
        </w:tc>
      </w:tr>
      <w:tr>
        <w:tc>
          <w:p>
            <w:pPr>
              <w:pStyle w:val="Compact"/>
              <w:jc w:val="center"/>
            </w:pPr>
            <w:r>
              <w:rPr>
                <w:b/>
              </w:rPr>
              <w:t xml:space="preserve">PD</w:t>
            </w:r>
          </w:p>
        </w:tc>
        <w:tc>
          <w:p>
            <w:pPr>
              <w:pStyle w:val="Compact"/>
              <w:jc w:val="center"/>
            </w:pPr>
            <w:r>
              <w:t xml:space="preserve">5</w:t>
            </w:r>
          </w:p>
        </w:tc>
        <w:tc>
          <w:p>
            <w:pPr>
              <w:pStyle w:val="Compact"/>
              <w:jc w:val="center"/>
            </w:pPr>
            <w:r>
              <w:t xml:space="preserve">0</w:t>
            </w:r>
          </w:p>
        </w:tc>
        <w:tc>
          <w:p>
            <w:pPr>
              <w:pStyle w:val="Compact"/>
              <w:jc w:val="center"/>
            </w:pPr>
            <w:r>
              <w:t xml:space="preserve">20</w:t>
            </w:r>
          </w:p>
        </w:tc>
        <w:tc>
          <w:p>
            <w:pPr>
              <w:pStyle w:val="Compact"/>
              <w:jc w:val="center"/>
            </w:pPr>
            <w:r>
              <w:t xml:space="preserve">150</w:t>
            </w:r>
          </w:p>
        </w:tc>
        <w:tc>
          <w:p>
            <w:pPr>
              <w:pStyle w:val="Compact"/>
              <w:jc w:val="center"/>
            </w:pPr>
            <w:r>
              <w:t xml:space="preserve">24</w:t>
            </w:r>
          </w:p>
        </w:tc>
        <w:tc>
          <w:p>
            <w:pPr>
              <w:pStyle w:val="Compact"/>
              <w:jc w:val="center"/>
            </w:pPr>
            <w:r>
              <w:t xml:space="preserve">2</w:t>
            </w:r>
          </w:p>
        </w:tc>
        <w:tc>
          <w:p>
            <w:pPr>
              <w:pStyle w:val="Compact"/>
              <w:jc w:val="center"/>
            </w:pPr>
            <w:r>
              <w:t xml:space="preserve">0</w:t>
            </w:r>
          </w:p>
        </w:tc>
        <w:tc>
          <w:p>
            <w:pPr>
              <w:pStyle w:val="Compact"/>
              <w:jc w:val="center"/>
            </w:pPr>
            <w:r>
              <w:t xml:space="preserve">0.25</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2</w:t>
            </w:r>
          </w:p>
        </w:tc>
        <w:tc>
          <w:p>
            <w:pPr>
              <w:pStyle w:val="Compact"/>
              <w:jc w:val="center"/>
            </w:pPr>
            <w:r>
              <w:t xml:space="preserve">5</w:t>
            </w:r>
          </w:p>
        </w:tc>
        <w:tc>
          <w:p>
            <w:pPr>
              <w:pStyle w:val="Compact"/>
              <w:jc w:val="center"/>
            </w:pPr>
            <w:r>
              <w:t xml:space="preserve">27</w:t>
            </w:r>
          </w:p>
        </w:tc>
        <w:tc>
          <w:p>
            <w:pPr>
              <w:pStyle w:val="Compact"/>
              <w:jc w:val="center"/>
            </w:pPr>
            <w:r>
              <w:t xml:space="preserve">43</w:t>
            </w:r>
          </w:p>
        </w:tc>
        <w:tc>
          <w:p>
            <w:pPr>
              <w:pStyle w:val="Compact"/>
              <w:jc w:val="center"/>
            </w:pPr>
            <w:r>
              <w:t xml:space="preserve">1</w:t>
            </w:r>
          </w:p>
        </w:tc>
        <w:tc>
          <w:p>
            <w:pPr>
              <w:pStyle w:val="Compact"/>
              <w:jc w:val="center"/>
            </w:pPr>
            <w:r>
              <w:t xml:space="preserve">1</w:t>
            </w:r>
          </w:p>
        </w:tc>
        <w:tc>
          <w:p>
            <w:pPr>
              <w:pStyle w:val="Compact"/>
              <w:jc w:val="center"/>
            </w:pPr>
            <w:r>
              <w:t xml:space="preserve">0.46</w:t>
            </w:r>
          </w:p>
        </w:tc>
      </w:tr>
      <w:tr>
        <w:tc>
          <w:p>
            <w:pPr>
              <w:pStyle w:val="Compact"/>
              <w:jc w:val="center"/>
            </w:pPr>
            <w:r>
              <w:rPr>
                <w:b/>
              </w:rPr>
              <w:t xml:space="preserve">TT</w:t>
            </w:r>
          </w:p>
        </w:tc>
        <w:tc>
          <w:p>
            <w:pPr>
              <w:pStyle w:val="Compact"/>
              <w:jc w:val="center"/>
            </w:pPr>
            <w:r>
              <w:t xml:space="preserve">2</w:t>
            </w:r>
          </w:p>
        </w:tc>
        <w:tc>
          <w:p>
            <w:pPr>
              <w:pStyle w:val="Compact"/>
              <w:jc w:val="center"/>
            </w:pPr>
            <w:r>
              <w:t xml:space="preserve">0</w:t>
            </w:r>
          </w:p>
        </w:tc>
        <w:tc>
          <w:p>
            <w:pPr>
              <w:pStyle w:val="Compact"/>
              <w:jc w:val="center"/>
            </w:pPr>
            <w:r>
              <w:t xml:space="preserve">15</w:t>
            </w:r>
          </w:p>
        </w:tc>
        <w:tc>
          <w:p>
            <w:pPr>
              <w:pStyle w:val="Compact"/>
              <w:jc w:val="center"/>
            </w:pPr>
            <w:r>
              <w:t xml:space="preserve">2</w:t>
            </w:r>
          </w:p>
        </w:tc>
        <w:tc>
          <w:p>
            <w:pPr>
              <w:pStyle w:val="Compact"/>
              <w:jc w:val="center"/>
            </w:pPr>
            <w:r>
              <w:t xml:space="preserve">1</w:t>
            </w:r>
          </w:p>
        </w:tc>
        <w:tc>
          <w:p>
            <w:pPr>
              <w:pStyle w:val="Compact"/>
              <w:jc w:val="center"/>
            </w:pPr>
            <w:r>
              <w:t xml:space="preserve">108</w:t>
            </w:r>
          </w:p>
        </w:tc>
        <w:tc>
          <w:p>
            <w:pPr>
              <w:pStyle w:val="Compact"/>
              <w:jc w:val="center"/>
            </w:pPr>
            <w:r>
              <w:t xml:space="preserve">11</w:t>
            </w:r>
          </w:p>
        </w:tc>
        <w:tc>
          <w:p>
            <w:pPr>
              <w:pStyle w:val="Compact"/>
              <w:jc w:val="center"/>
            </w:pPr>
            <w:r>
              <w:t xml:space="preserve">0.22</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13</w:t>
            </w:r>
          </w:p>
        </w:tc>
        <w:tc>
          <w:p>
            <w:pPr>
              <w:pStyle w:val="Compact"/>
              <w:jc w:val="center"/>
            </w:pPr>
            <w:r>
              <w:t xml:space="preserve">37</w:t>
            </w:r>
          </w:p>
        </w:tc>
        <w:tc>
          <w:p>
            <w:pPr>
              <w:pStyle w:val="Compact"/>
              <w:jc w:val="center"/>
            </w:pPr>
            <w:r>
              <w:t xml:space="preserve">0.3</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Tenure-track and postdoctoral positions show higher cross-over of high-importance terms than do tenure-track and graduate positions (or postdoctoral and graduate positions). Both graduate and postdoctoral positions show much higher cross-over with interdisciplinary terms than do terms of importance for tenure-track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 Interestingly, among "position" terms, postdoctoral is non-unique due to its high importance within the "interdisciplinary" classification model.</w:t>
      </w:r>
    </w:p>
    <w:tbl>
      <w:tblPr>
        <w:tblStyle w:val="TableNormal"/>
        <w:tblW w:type="pct" w:w="4375.0"/>
        <w:tblLook w:firstRow="1"/>
      </w:tblPr>
      <w:tblGrid>
        <w:gridCol w:w="1760"/>
        <w:gridCol w:w="1320"/>
        <w:gridCol w:w="1540"/>
        <w:gridCol w:w="2310"/>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teach</w:t>
            </w:r>
          </w:p>
        </w:tc>
        <w:tc>
          <w:p>
            <w:pPr>
              <w:pStyle w:val="Compact"/>
              <w:jc w:val="center"/>
            </w:pPr>
            <w:r>
              <w:t xml:space="preserve">postdoctor</w:t>
            </w:r>
          </w:p>
        </w:tc>
        <w:tc>
          <w:p>
            <w:pPr>
              <w:pStyle w:val="Compact"/>
              <w:jc w:val="center"/>
            </w:pPr>
            <w:r>
              <w:t xml:space="preserve">student</w:t>
            </w:r>
          </w:p>
        </w:tc>
        <w:tc>
          <w:p>
            <w:pPr>
              <w:pStyle w:val="Compact"/>
              <w:jc w:val="center"/>
            </w:pPr>
            <w:r>
              <w:rPr>
                <w:b/>
              </w:rPr>
              <w:t xml:space="preserve">interdisciplinari</w:t>
            </w:r>
          </w:p>
        </w:tc>
      </w:tr>
      <w:tr>
        <w:tc>
          <w:p>
            <w:pPr>
              <w:pStyle w:val="Compact"/>
              <w:jc w:val="center"/>
            </w:pPr>
            <w:r>
              <w:rPr>
                <w:b/>
              </w:rPr>
              <w:t xml:space="preserve">tenuretrack</w:t>
            </w:r>
          </w:p>
        </w:tc>
        <w:tc>
          <w:p>
            <w:pPr>
              <w:pStyle w:val="Compact"/>
              <w:jc w:val="center"/>
            </w:pPr>
            <w:r>
              <w:t xml:space="preserve">posit</w:t>
            </w:r>
          </w:p>
        </w:tc>
        <w:tc>
          <w:p>
            <w:pPr>
              <w:pStyle w:val="Compact"/>
              <w:jc w:val="center"/>
            </w:pPr>
            <w:r>
              <w:t xml:space="preserve">graduat</w:t>
            </w:r>
          </w:p>
        </w:tc>
        <w:tc>
          <w:p>
            <w:pPr>
              <w:pStyle w:val="Compact"/>
              <w:jc w:val="center"/>
            </w:pPr>
            <w:r>
              <w:t xml:space="preserve">applic</w:t>
            </w:r>
          </w:p>
        </w:tc>
      </w:tr>
      <w:tr>
        <w:tc>
          <w:p>
            <w:pPr>
              <w:pStyle w:val="Compact"/>
              <w:jc w:val="center"/>
            </w:pPr>
            <w:r>
              <w:rPr>
                <w:b/>
              </w:rPr>
              <w:t xml:space="preserve">professor</w:t>
            </w:r>
          </w:p>
        </w:tc>
        <w:tc>
          <w:p>
            <w:pPr>
              <w:pStyle w:val="Compact"/>
              <w:jc w:val="center"/>
            </w:pPr>
            <w:r>
              <w:rPr>
                <w:b/>
              </w:rPr>
              <w:t xml:space="preserve">postdoc</w:t>
            </w:r>
          </w:p>
        </w:tc>
        <w:tc>
          <w:p>
            <w:pPr>
              <w:pStyle w:val="Compact"/>
              <w:jc w:val="center"/>
            </w:pPr>
            <w:r>
              <w:t xml:space="preserve">assistantship</w:t>
            </w:r>
          </w:p>
        </w:tc>
        <w:tc>
          <w:p>
            <w:pPr>
              <w:pStyle w:val="Compact"/>
              <w:jc w:val="center"/>
            </w:pPr>
            <w:r>
              <w:t xml:space="preserve">posit</w:t>
            </w:r>
          </w:p>
        </w:tc>
      </w:tr>
      <w:tr>
        <w:tc>
          <w:p>
            <w:pPr>
              <w:pStyle w:val="Compact"/>
              <w:jc w:val="center"/>
            </w:pPr>
            <w:r>
              <w:rPr>
                <w:b/>
              </w:rPr>
              <w:t xml:space="preserve">assist</w:t>
            </w:r>
          </w:p>
        </w:tc>
        <w:tc>
          <w:p>
            <w:pPr>
              <w:pStyle w:val="Compact"/>
              <w:jc w:val="center"/>
            </w:pPr>
            <w:r>
              <w:t xml:space="preserve">univers</w:t>
            </w:r>
          </w:p>
        </w:tc>
        <w:tc>
          <w:p>
            <w:pPr>
              <w:pStyle w:val="Compact"/>
              <w:jc w:val="center"/>
            </w:pPr>
            <w:r>
              <w:t xml:space="preserve">avail</w:t>
            </w:r>
          </w:p>
        </w:tc>
        <w:tc>
          <w:p>
            <w:pPr>
              <w:pStyle w:val="Compact"/>
              <w:jc w:val="center"/>
            </w:pPr>
            <w:r>
              <w:t xml:space="preserve">research</w:t>
            </w:r>
          </w:p>
        </w:tc>
      </w:tr>
      <w:tr>
        <w:tc>
          <w:p>
            <w:pPr>
              <w:pStyle w:val="Compact"/>
              <w:jc w:val="center"/>
            </w:pPr>
            <w:r>
              <w:t xml:space="preserve">applic</w:t>
            </w:r>
          </w:p>
        </w:tc>
        <w:tc>
          <w:p>
            <w:pPr>
              <w:pStyle w:val="Compact"/>
              <w:jc w:val="center"/>
            </w:pPr>
            <w:r>
              <w:t xml:space="preserve">model</w:t>
            </w:r>
          </w:p>
        </w:tc>
        <w:tc>
          <w:p>
            <w:pPr>
              <w:pStyle w:val="Compact"/>
              <w:jc w:val="center"/>
            </w:pPr>
            <w:r>
              <w:rPr>
                <w:b/>
              </w:rPr>
              <w:t xml:space="preserve">phd</w:t>
            </w:r>
          </w:p>
        </w:tc>
        <w:tc>
          <w:p>
            <w:pPr>
              <w:pStyle w:val="Compact"/>
              <w:jc w:val="center"/>
            </w:pPr>
            <w:r>
              <w:rPr>
                <w:b/>
              </w:rPr>
              <w:t xml:space="preserve">ecosystem</w:t>
            </w:r>
          </w:p>
        </w:tc>
      </w:tr>
      <w:tr>
        <w:tc>
          <w:p>
            <w:pPr>
              <w:pStyle w:val="Compact"/>
              <w:jc w:val="center"/>
            </w:pPr>
            <w:r>
              <w:t xml:space="preserve">depart</w:t>
            </w:r>
          </w:p>
        </w:tc>
        <w:tc>
          <w:p>
            <w:pPr>
              <w:pStyle w:val="Compact"/>
              <w:jc w:val="center"/>
            </w:pPr>
            <w:r>
              <w:t xml:space="preserve">applic</w:t>
            </w:r>
          </w:p>
        </w:tc>
        <w:tc>
          <w:p>
            <w:pPr>
              <w:pStyle w:val="Compact"/>
              <w:jc w:val="center"/>
            </w:pPr>
            <w:r>
              <w:t xml:space="preserve">research</w:t>
            </w:r>
          </w:p>
        </w:tc>
        <w:tc>
          <w:p>
            <w:pPr>
              <w:pStyle w:val="Compact"/>
              <w:jc w:val="center"/>
            </w:pPr>
            <w:r>
              <w:t xml:space="preserve">graduat</w:t>
            </w:r>
          </w:p>
        </w:tc>
      </w:tr>
      <w:tr>
        <w:tc>
          <w:p>
            <w:pPr>
              <w:pStyle w:val="Compact"/>
              <w:jc w:val="center"/>
            </w:pPr>
            <w:r>
              <w:rPr>
                <w:b/>
              </w:rPr>
              <w:t xml:space="preserve">faculti</w:t>
            </w:r>
          </w:p>
        </w:tc>
        <w:tc>
          <w:p>
            <w:pPr>
              <w:pStyle w:val="Compact"/>
              <w:jc w:val="center"/>
            </w:pPr>
            <w:r>
              <w:t xml:space="preserve">research</w:t>
            </w:r>
          </w:p>
        </w:tc>
        <w:tc>
          <w:p>
            <w:pPr>
              <w:pStyle w:val="Compact"/>
              <w:jc w:val="center"/>
            </w:pPr>
            <w:r>
              <w:t xml:space="preserve">univers</w:t>
            </w:r>
          </w:p>
        </w:tc>
        <w:tc>
          <w:p>
            <w:pPr>
              <w:pStyle w:val="Compact"/>
              <w:jc w:val="center"/>
            </w:pPr>
            <w:r>
              <w:t xml:space="preserve">univers</w:t>
            </w:r>
          </w:p>
        </w:tc>
      </w:tr>
      <w:tr>
        <w:tc>
          <w:p>
            <w:pPr>
              <w:pStyle w:val="Compact"/>
              <w:jc w:val="center"/>
            </w:pPr>
            <w:r>
              <w:t xml:space="preserve">candid</w:t>
            </w:r>
          </w:p>
        </w:tc>
        <w:tc>
          <w:p>
            <w:pPr>
              <w:pStyle w:val="Compact"/>
              <w:jc w:val="center"/>
            </w:pPr>
            <w:r>
              <w:t xml:space="preserve">avail</w:t>
            </w:r>
          </w:p>
        </w:tc>
        <w:tc>
          <w:p>
            <w:pPr>
              <w:pStyle w:val="Compact"/>
              <w:jc w:val="center"/>
            </w:pPr>
            <w:r>
              <w:rPr>
                <w:b/>
              </w:rPr>
              <w:t xml:space="preserve">motiv</w:t>
            </w:r>
          </w:p>
        </w:tc>
        <w:tc>
          <w:p>
            <w:pPr>
              <w:pStyle w:val="Compact"/>
              <w:jc w:val="center"/>
            </w:pPr>
            <w:r>
              <w:t xml:space="preserve">candid</w:t>
            </w:r>
          </w:p>
        </w:tc>
      </w:tr>
      <w:tr>
        <w:tc>
          <w:p>
            <w:pPr>
              <w:pStyle w:val="Compact"/>
              <w:jc w:val="center"/>
            </w:pPr>
            <w:r>
              <w:rPr>
                <w:b/>
              </w:rPr>
              <w:t xml:space="preserve">undergradu</w:t>
            </w:r>
          </w:p>
        </w:tc>
        <w:tc>
          <w:p>
            <w:pPr>
              <w:pStyle w:val="Compact"/>
              <w:jc w:val="center"/>
            </w:pPr>
            <w:r>
              <w:t xml:space="preserve">candid</w:t>
            </w:r>
          </w:p>
        </w:tc>
        <w:tc>
          <w:p>
            <w:pPr>
              <w:pStyle w:val="Compact"/>
              <w:jc w:val="center"/>
            </w:pPr>
            <w:r>
              <w:rPr>
                <w:b/>
              </w:rPr>
              <w:t xml:space="preserve">tuition</w:t>
            </w:r>
          </w:p>
        </w:tc>
        <w:tc>
          <w:p>
            <w:pPr>
              <w:pStyle w:val="Compact"/>
              <w:jc w:val="center"/>
            </w:pPr>
            <w:r>
              <w:rPr>
                <w:b/>
              </w:rPr>
              <w:t xml:space="preserve">develop</w:t>
            </w:r>
          </w:p>
        </w:tc>
      </w:tr>
      <w:tr>
        <w:tc>
          <w:p>
            <w:pPr>
              <w:pStyle w:val="Compact"/>
              <w:jc w:val="center"/>
            </w:pPr>
            <w:r>
              <w:t xml:space="preserve">posit</w:t>
            </w:r>
          </w:p>
        </w:tc>
        <w:tc>
          <w:p>
            <w:pPr>
              <w:pStyle w:val="Compact"/>
              <w:jc w:val="center"/>
            </w:pPr>
            <w:r>
              <w:rPr>
                <w:b/>
              </w:rPr>
              <w:t xml:space="preserve">fellow</w:t>
            </w:r>
          </w:p>
        </w:tc>
        <w:tc>
          <w:p>
            <w:pPr>
              <w:pStyle w:val="Compact"/>
              <w:jc w:val="center"/>
            </w:pPr>
            <w:r>
              <w:t xml:space="preserve">project</w:t>
            </w:r>
          </w:p>
        </w:tc>
        <w:tc>
          <w:p>
            <w:pPr>
              <w:pStyle w:val="Compact"/>
              <w:jc w:val="center"/>
            </w:pPr>
            <w:r>
              <w:t xml:space="preserve">project</w:t>
            </w:r>
          </w:p>
        </w:tc>
      </w:tr>
      <w:tr>
        <w:tc>
          <w:p>
            <w:pPr>
              <w:pStyle w:val="Compact"/>
              <w:jc w:val="center"/>
            </w:pPr>
            <w:r>
              <w:t xml:space="preserve">univers</w:t>
            </w:r>
          </w:p>
        </w:tc>
        <w:tc>
          <w:p>
            <w:pPr>
              <w:pStyle w:val="Compact"/>
              <w:jc w:val="center"/>
            </w:pPr>
            <w:r>
              <w:rPr>
                <w:b/>
              </w:rPr>
              <w:t xml:space="preserve">year</w:t>
            </w:r>
          </w:p>
        </w:tc>
        <w:tc>
          <w:p>
            <w:pPr>
              <w:pStyle w:val="Compact"/>
              <w:jc w:val="center"/>
            </w:pPr>
            <w:r>
              <w:rPr>
                <w:b/>
              </w:rPr>
              <w:t xml:space="preserve">studi</w:t>
            </w:r>
          </w:p>
        </w:tc>
        <w:tc>
          <w:p>
            <w:pPr>
              <w:pStyle w:val="Compact"/>
              <w:jc w:val="center"/>
            </w:pPr>
            <w:r>
              <w:t xml:space="preserve">seek</w:t>
            </w:r>
          </w:p>
        </w:tc>
      </w:tr>
      <w:tr>
        <w:tc>
          <w:p>
            <w:pPr>
              <w:pStyle w:val="Compact"/>
              <w:jc w:val="center"/>
            </w:pPr>
            <w:r>
              <w:rPr>
                <w:b/>
              </w:rPr>
              <w:t xml:space="preserve">success</w:t>
            </w:r>
          </w:p>
        </w:tc>
        <w:tc>
          <w:p>
            <w:pPr>
              <w:pStyle w:val="Compact"/>
              <w:jc w:val="center"/>
            </w:pPr>
            <w:r>
              <w:t xml:space="preserve">fund</w:t>
            </w:r>
          </w:p>
        </w:tc>
        <w:tc>
          <w:p>
            <w:pPr>
              <w:pStyle w:val="Compact"/>
              <w:jc w:val="center"/>
            </w:pPr>
            <w:r>
              <w:rPr>
                <w:b/>
              </w:rPr>
              <w:t xml:space="preserve">gre</w:t>
            </w:r>
          </w:p>
        </w:tc>
        <w:tc>
          <w:p>
            <w:pPr>
              <w:pStyle w:val="Compact"/>
              <w:jc w:val="center"/>
            </w:pPr>
            <w:r>
              <w:rPr>
                <w:b/>
              </w:rPr>
              <w:t xml:space="preserve">collabor</w:t>
            </w:r>
          </w:p>
        </w:tc>
      </w:tr>
      <w:tr>
        <w:tc>
          <w:p>
            <w:pPr>
              <w:pStyle w:val="Compact"/>
              <w:jc w:val="center"/>
            </w:pPr>
            <w:r>
              <w:rPr>
                <w:b/>
              </w:rPr>
              <w:t xml:space="preserve">invit</w:t>
            </w:r>
          </w:p>
        </w:tc>
        <w:tc>
          <w:p>
            <w:pPr>
              <w:pStyle w:val="Compact"/>
              <w:jc w:val="center"/>
            </w:pPr>
            <w:r>
              <w:rPr>
                <w:b/>
              </w:rPr>
              <w:t xml:space="preserve">renew</w:t>
            </w:r>
          </w:p>
        </w:tc>
        <w:tc>
          <w:p>
            <w:pPr>
              <w:pStyle w:val="Compact"/>
              <w:jc w:val="center"/>
            </w:pPr>
            <w:r>
              <w:rPr>
                <w:b/>
              </w:rPr>
              <w:t xml:space="preserve">scienc</w:t>
            </w:r>
          </w:p>
        </w:tc>
        <w:tc>
          <w:p>
            <w:pPr>
              <w:pStyle w:val="Compact"/>
              <w:jc w:val="center"/>
            </w:pPr>
            <w:r>
              <w:t xml:space="preserve">postdoctor</w:t>
            </w:r>
          </w:p>
        </w:tc>
      </w:tr>
      <w:tr>
        <w:tc>
          <w:p>
            <w:pPr>
              <w:pStyle w:val="Compact"/>
              <w:jc w:val="center"/>
            </w:pPr>
            <w:r>
              <w:rPr>
                <w:b/>
              </w:rPr>
              <w:t xml:space="preserve">curriculum</w:t>
            </w:r>
          </w:p>
        </w:tc>
        <w:tc>
          <w:p>
            <w:pPr>
              <w:pStyle w:val="Compact"/>
              <w:jc w:val="center"/>
            </w:pPr>
            <w:r>
              <w:rPr>
                <w:b/>
              </w:rPr>
              <w:t xml:space="preserve">name</w:t>
            </w:r>
          </w:p>
        </w:tc>
        <w:tc>
          <w:p>
            <w:pPr>
              <w:pStyle w:val="Compact"/>
              <w:jc w:val="center"/>
            </w:pPr>
            <w:r>
              <w:rPr>
                <w:b/>
              </w:rPr>
              <w:t xml:space="preserve">ecolog</w:t>
            </w:r>
          </w:p>
        </w:tc>
        <w:tc>
          <w:p>
            <w:pPr>
              <w:pStyle w:val="Compact"/>
              <w:jc w:val="center"/>
            </w:pPr>
            <w:r>
              <w:t xml:space="preserve">avail</w:t>
            </w:r>
          </w:p>
        </w:tc>
      </w:tr>
      <w:tr>
        <w:tc>
          <w:p>
            <w:pPr>
              <w:pStyle w:val="Compact"/>
              <w:jc w:val="center"/>
            </w:pPr>
            <w:r>
              <w:rPr>
                <w:b/>
              </w:rPr>
              <w:t xml:space="preserve">chair</w:t>
            </w:r>
          </w:p>
        </w:tc>
        <w:tc>
          <w:p>
            <w:pPr>
              <w:pStyle w:val="Compact"/>
              <w:jc w:val="center"/>
            </w:pPr>
            <w:r>
              <w:t xml:space="preserve">project</w:t>
            </w:r>
          </w:p>
        </w:tc>
        <w:tc>
          <w:p>
            <w:pPr>
              <w:pStyle w:val="Compact"/>
              <w:jc w:val="center"/>
            </w:pPr>
            <w:r>
              <w:t xml:space="preserve">depart</w:t>
            </w:r>
          </w:p>
        </w:tc>
        <w:tc>
          <w:p>
            <w:pPr>
              <w:pStyle w:val="Compact"/>
              <w:jc w:val="center"/>
            </w:pPr>
            <w:r>
              <w:t xml:space="preserve">model</w:t>
            </w:r>
          </w:p>
        </w:tc>
      </w:tr>
      <w:tr>
        <w:tc>
          <w:p>
            <w:pPr>
              <w:pStyle w:val="Compact"/>
              <w:jc w:val="center"/>
            </w:pPr>
            <w:r>
              <w:rPr>
                <w:b/>
              </w:rPr>
              <w:t xml:space="preserve">affirm</w:t>
            </w:r>
          </w:p>
        </w:tc>
        <w:tc>
          <w:p>
            <w:pPr>
              <w:pStyle w:val="Compact"/>
              <w:jc w:val="center"/>
            </w:pPr>
            <w:r>
              <w:rPr>
                <w:b/>
              </w:rPr>
              <w:t xml:space="preserve">dynam</w:t>
            </w:r>
          </w:p>
        </w:tc>
        <w:tc>
          <w:p>
            <w:pPr>
              <w:pStyle w:val="Compact"/>
              <w:jc w:val="center"/>
            </w:pPr>
            <w:r>
              <w:rPr>
                <w:b/>
              </w:rPr>
              <w:t xml:space="preserve">begin</w:t>
            </w:r>
          </w:p>
        </w:tc>
        <w:tc>
          <w:p>
            <w:pPr>
              <w:pStyle w:val="Compact"/>
              <w:jc w:val="center"/>
            </w:pPr>
            <w:r>
              <w:t xml:space="preserve">will</w:t>
            </w:r>
          </w:p>
        </w:tc>
      </w:tr>
      <w:tr>
        <w:tc>
          <w:p>
            <w:pPr>
              <w:pStyle w:val="Compact"/>
              <w:jc w:val="center"/>
            </w:pPr>
            <w:r>
              <w:rPr>
                <w:b/>
              </w:rPr>
              <w:t xml:space="preserve">commit</w:t>
            </w:r>
          </w:p>
        </w:tc>
        <w:tc>
          <w:p>
            <w:pPr>
              <w:pStyle w:val="Compact"/>
              <w:jc w:val="center"/>
            </w:pPr>
            <w:r>
              <w:rPr>
                <w:b/>
              </w:rPr>
              <w:t xml:space="preserve">associ</w:t>
            </w:r>
          </w:p>
        </w:tc>
        <w:tc>
          <w:p>
            <w:pPr>
              <w:pStyle w:val="Compact"/>
              <w:jc w:val="center"/>
            </w:pPr>
            <w:r>
              <w:t xml:space="preserve">applic</w:t>
            </w:r>
          </w:p>
        </w:tc>
        <w:tc>
          <w:p>
            <w:pPr>
              <w:pStyle w:val="Compact"/>
              <w:jc w:val="center"/>
            </w:pPr>
            <w:r>
              <w:rPr>
                <w:b/>
              </w:rPr>
              <w:t xml:space="preserve">opportun</w:t>
            </w:r>
          </w:p>
        </w:tc>
      </w:tr>
      <w:tr>
        <w:tc>
          <w:p>
            <w:pPr>
              <w:pStyle w:val="Compact"/>
              <w:jc w:val="center"/>
            </w:pPr>
            <w:r>
              <w:t xml:space="preserve">seek</w:t>
            </w:r>
          </w:p>
        </w:tc>
        <w:tc>
          <w:p>
            <w:pPr>
              <w:pStyle w:val="Compact"/>
              <w:jc w:val="center"/>
            </w:pPr>
            <w:r>
              <w:rPr>
                <w:b/>
              </w:rPr>
              <w:t xml:space="preserve">three</w:t>
            </w:r>
          </w:p>
        </w:tc>
        <w:tc>
          <w:p>
            <w:pPr>
              <w:pStyle w:val="Compact"/>
              <w:jc w:val="center"/>
            </w:pPr>
            <w:r>
              <w:t xml:space="preserve">fund</w:t>
            </w:r>
          </w:p>
        </w:tc>
        <w:tc>
          <w:p>
            <w:pPr>
              <w:pStyle w:val="Compact"/>
              <w:jc w:val="center"/>
            </w:pPr>
            <w:r>
              <w:t xml:space="preserve">assistantship</w:t>
            </w:r>
          </w:p>
        </w:tc>
      </w:tr>
      <w:tr>
        <w:tc>
          <w:p>
            <w:pPr>
              <w:pStyle w:val="Compact"/>
              <w:jc w:val="center"/>
            </w:pPr>
            <w:r>
              <w:rPr>
                <w:b/>
              </w:rPr>
              <w:t xml:space="preserve">vita</w:t>
            </w:r>
          </w:p>
        </w:tc>
        <w:tc>
          <w:p>
            <w:pPr>
              <w:pStyle w:val="Compact"/>
              <w:jc w:val="center"/>
            </w:pPr>
            <w:r>
              <w:rPr>
                <w:b/>
              </w:rPr>
              <w:t xml:space="preserve">refer</w:t>
            </w:r>
          </w:p>
        </w:tc>
        <w:tc>
          <w:p>
            <w:pPr>
              <w:pStyle w:val="Compact"/>
              <w:jc w:val="center"/>
            </w:pPr>
            <w:r>
              <w:t xml:space="preserve">will</w:t>
            </w:r>
          </w:p>
        </w:tc>
        <w:tc>
          <w:p>
            <w:pPr>
              <w:pStyle w:val="Compact"/>
              <w:jc w:val="center"/>
            </w:pPr>
            <w:r>
              <w:t xml:space="preserve">program</w:t>
            </w:r>
          </w:p>
        </w:tc>
      </w:tr>
      <w:tr>
        <w:tc>
          <w:p>
            <w:pPr>
              <w:pStyle w:val="Compact"/>
              <w:jc w:val="center"/>
            </w:pPr>
            <w:r>
              <w:t xml:space="preserve">program</w:t>
            </w:r>
          </w:p>
        </w:tc>
        <w:tc>
          <w:p>
            <w:pPr>
              <w:pStyle w:val="Compact"/>
              <w:jc w:val="center"/>
            </w:pPr>
            <w:r>
              <w:t xml:space="preserve">student</w:t>
            </w:r>
          </w:p>
        </w:tc>
        <w:tc>
          <w:p>
            <w:pPr>
              <w:pStyle w:val="Compact"/>
              <w:jc w:val="center"/>
            </w:pPr>
            <w:r>
              <w:t xml:space="preserve">candid</w:t>
            </w:r>
          </w:p>
        </w:tc>
        <w:tc>
          <w:p>
            <w:pPr>
              <w:pStyle w:val="Compact"/>
              <w:jc w:val="center"/>
            </w:pPr>
            <w:r>
              <w:rPr>
                <w:b/>
              </w:rPr>
              <w:t xml:space="preserve">includ</w:t>
            </w:r>
          </w:p>
        </w:tc>
      </w:tr>
    </w:tbl>
    <w:p>
      <w:pPr>
        <w:pStyle w:val="BodyText"/>
      </w:pPr>
      <w:r>
        <w:t xml:space="preserve">The random forest model to explicitly identify tenure-track positions indicates that terms of high importance include "tenuretrack" (indicating the removal of a hyphen), "assistant", "professor" and "undergraduate" (Table 2). For postdoctoral positions, the model identifies "postdoctoral", "position", and "research" as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BodyText"/>
      </w:pPr>
      <w:r>
        <w:drawing>
          <wp:inline>
            <wp:extent cx="5334000" cy="5334000"/>
            <wp:effectExtent b="0" l="0" r="0" t="0"/>
            <wp:docPr descr="" id="1" name="Picture"/>
            <a:graphic>
              <a:graphicData uri="http://schemas.openxmlformats.org/drawingml/2006/picture">
                <pic:pic>
                  <pic:nvPicPr>
                    <pic:cNvPr descr="ecolog_paper_files/figure-docx/unnamed-chunk-2-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3" w:name="discussion"/>
      <w:bookmarkEnd w:id="33"/>
      <w:r>
        <w:t xml:space="preserve">Discussion</w:t>
      </w:r>
    </w:p>
    <w:p>
      <w:pPr>
        <w:pStyle w:val="Heading3"/>
      </w:pPr>
      <w:bookmarkStart w:id="34" w:name="main-points-to-discuss"/>
      <w:bookmarkEnd w:id="34"/>
      <w:r>
        <w:t xml:space="preserve">Main points to discuss:</w:t>
      </w:r>
    </w:p>
    <w:p>
      <w:pPr>
        <w:pStyle w:val="FirstParagraph"/>
      </w:pPr>
      <w:r>
        <w:rPr>
          <w:b/>
        </w:rPr>
        <w:t xml:space="preserve">First two to three paragraphs.</w:t>
      </w:r>
      <w:r>
        <w:t xml:space="preserve"> </w:t>
      </w:r>
      <w:r>
        <w:t xml:space="preserve">* refs on ac hiring trends generally (e.g. proportion of ecology grads/postdocs that get t-t jobs) &amp; increasing importance of interdiscip. * Our RESULTS: declining number of opportunities at each academic career stage (more grad positions than postdoc than t-t). (as a proportion) * Differences in trends for interdiscip vs traditional * how does this match our models?</w:t>
      </w:r>
    </w:p>
    <w:p>
      <w:pPr>
        <w:pStyle w:val="BodyText"/>
      </w:pPr>
      <w:r>
        <w:rPr>
          <w:b/>
        </w:rPr>
        <w:t xml:space="preserve">Two paragraphs</w:t>
      </w:r>
      <w:r>
        <w:t xml:space="preserve"> </w:t>
      </w:r>
      <w:r>
        <w:t xml:space="preserve">* back end considerations (caveats) * defining interdisciplinarity * because tools often are part of their own disciplines, and finding that dividing line can be tricky. * within discipline concepts are broad, so what are we splitting * multi-disciplinary vs trans vs interdiscip. (maybe better in intro) * do department t-t hiring trends follow their ads - e.g. just because they don't use the word interdisciplinary, are they biased for/against candidates with interdisciplinary backgrounds? * Most job ads at the tt level have been "written by committee" and so there is evidence of direction &amp; intention in the ads. * interdisciplinarity in the grad &amp; postdoc ads may be overstated.</w:t>
      </w:r>
    </w:p>
    <w:p>
      <w:pPr>
        <w:pStyle w:val="BodyText"/>
      </w:pPr>
      <w:r>
        <w:rPr>
          <w:b/>
        </w:rPr>
        <w:t xml:space="preserve">Two paragraphs</w:t>
      </w:r>
      <w:r>
        <w:t xml:space="preserve"> </w:t>
      </w:r>
      <w:r>
        <w:t xml:space="preserve">* David, could you take the lead on this possibly? * More broad discussion about ECOLOG</w:t>
      </w:r>
      <w:r>
        <w:t xml:space="preserve"> </w:t>
      </w:r>
      <w:r>
        <w:rPr>
          <w:i/>
        </w:rPr>
        <w:t xml:space="preserve">increasing # of postings per year, esp. for graduate/postdoc jobs (perhaps what we really want to plot is proportion of interdisciplinary jobs?)</w:t>
      </w:r>
      <w:r>
        <w:rPr>
          <w:i/>
        </w:rPr>
        <w:t xml:space="preserve"> </w:t>
      </w:r>
      <w:r>
        <w:t xml:space="preserve"> </w:t>
      </w:r>
      <w:r>
        <w:t xml:space="preserve">increase in postdoc interdisc. jobs, esp 2005-2010, then level off? (similar pattern for graduate work?) * relatively flat trend for faculty t-t jobs (ony very slight increase?) * also the impact of economic issues (jobs during recession)</w:t>
      </w:r>
    </w:p>
    <w:p>
      <w:pPr>
        <w:pStyle w:val="BodyText"/>
      </w:pPr>
      <w:r>
        <w:rPr>
          <w:b/>
        </w:rPr>
        <w:t xml:space="preserve">One paragraph</w:t>
      </w:r>
      <w:r>
        <w:t xml:space="preserve"> </w:t>
      </w:r>
      <w:r>
        <w:t xml:space="preserve">* refs that give suggestions or "rules of thumb" for interdisp. job candidates? * important for interdiscp t-t candidates to still be able to have "story" they can tell - important not to appear unfocused or too broad, like to be categorized. * does interdisp. work have particular benefits for non ac vs. ac careers? (can't really measure in our survey because we didn't finely divide up non-ac jobs, can only speculate)</w:t>
      </w:r>
    </w:p>
    <w:p>
      <w:pPr>
        <w:pStyle w:val="BodyText"/>
      </w:pPr>
      <w:r>
        <w:rPr>
          <w:b/>
        </w:rPr>
        <w:t xml:space="preserve">One paragraph</w:t>
      </w:r>
      <w:r>
        <w:t xml:space="preserve"> </w:t>
      </w:r>
      <w:r>
        <w:t xml:space="preserve">* This is an incredibly rich dataset that would allow deeper investigation: * Ariel Fournier (seasonal jobs &amp; unpaid internships)</w:t>
      </w:r>
      <w:r>
        <w:t xml:space="preserve"> </w:t>
      </w:r>
      <w:r>
        <w:t xml:space="preserve">(Fournier and Bond 2015)</w:t>
      </w:r>
      <w:r>
        <w:t xml:space="preserve"> </w:t>
      </w:r>
      <w:r>
        <w:t xml:space="preserve">* are interdisp. researchers seeking non t-t careers (e.g. government, non profit?) * salary levels</w:t>
      </w:r>
    </w:p>
    <w:p>
      <w:pPr>
        <w:pStyle w:val="BodyText"/>
      </w:pPr>
      <w:r>
        <w:rPr>
          <w:b/>
        </w:rPr>
        <w:t xml:space="preserve">Final Paragraph</w:t>
      </w:r>
      <w:r>
        <w:t xml:space="preserve"> </w:t>
      </w:r>
      <w:r>
        <w:t xml:space="preserve">* Summary of findings</w:t>
      </w:r>
    </w:p>
    <w:p>
      <w:pPr>
        <w:pStyle w:val="BodyText"/>
      </w:pPr>
      <w:r>
        <w:t xml:space="preserve">Text Panel * Broad trends (seasonal patterns &amp; decomposition) * can see that peak timing for job advertisement differ tenure-track (earlier) vs. graduate/postdoc (later).</w:t>
      </w:r>
    </w:p>
    <w:p>
      <w:pPr>
        <w:pStyle w:val="Heading2"/>
      </w:pPr>
      <w:bookmarkStart w:id="35" w:name="references"/>
      <w:bookmarkEnd w:id="35"/>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Fournier, A., and A. L. Bond. 2015. Volunteer field technicians are bad for wildlife ecology. Wildlife Society Bulletin.</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Liaw, A., and M. Wiener. 2002. Classification and regression by randomForest. R News 2:18–22.</w:t>
      </w:r>
    </w:p>
    <w:p>
      <w:pPr>
        <w:pStyle w:val="Bibliography"/>
      </w:pPr>
      <w:r>
        <w:t xml:space="preserve">Meyer, D., K. Hornik, and I. Feinerer. 2008. Text mining infrastructure in r. Journal of Statistical Software 25:1–54.</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fd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30" Target="http://ec2-52-0-223-101.compute-1.amazonaws.com:3838/ESA_Shiny/" TargetMode="External" /><Relationship Type="http://schemas.openxmlformats.org/officeDocument/2006/relationships/hyperlink" Id="rId27" Target="http://esa.org/history/a-note-on-the-history-of-the-ecolog-listserv/" TargetMode="External" /><Relationship Type="http://schemas.openxmlformats.org/officeDocument/2006/relationships/hyperlink" Id="rId26" Target="https://dynamicecology.wordpress.com/2013/02/22/whats-ecolog-l-for-and-how-can-we-make-it-better/" TargetMode="External" /><Relationship Type="http://schemas.openxmlformats.org/officeDocument/2006/relationships/hyperlink" Id="rId28" Target="https://listserv.umd.edu/archives/ecolog-l.html"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30" Target="http://ec2-52-0-223-101.compute-1.amazonaws.com:3838/ESA_Shiny/" TargetMode="External" /><Relationship Type="http://schemas.openxmlformats.org/officeDocument/2006/relationships/hyperlink" Id="rId27" Target="http://esa.org/history/a-note-on-the-history-of-the-ecolog-listserv/" TargetMode="External" /><Relationship Type="http://schemas.openxmlformats.org/officeDocument/2006/relationships/hyperlink" Id="rId26" Target="https://dynamicecology.wordpress.com/2013/02/22/whats-ecolog-l-for-and-how-can-we-make-it-better/" TargetMode="External" /><Relationship Type="http://schemas.openxmlformats.org/officeDocument/2006/relationships/hyperlink" Id="rId28" Target="https://listserv.umd.edu/archives/ecolog-l.html"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