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35F" w:rsidRPr="00DE2EDB" w:rsidRDefault="00F8335F" w:rsidP="00DE2EDB">
      <w:pPr>
        <w:jc w:val="center"/>
        <w:rPr>
          <w:b/>
        </w:rPr>
      </w:pPr>
      <w:bookmarkStart w:id="0" w:name="_Toc511379631"/>
      <w:bookmarkStart w:id="1" w:name="_Toc511395576"/>
      <w:bookmarkStart w:id="2" w:name="_GoBack"/>
      <w:bookmarkEnd w:id="2"/>
      <w:r w:rsidRPr="00DE2EDB">
        <w:rPr>
          <w:b/>
        </w:rPr>
        <w:t>The Journey to Green Economies: Essays at the Intersection of Public Policy, the Market, and Environmental Sustainability</w:t>
      </w:r>
      <w:bookmarkEnd w:id="0"/>
      <w:bookmarkEnd w:id="1"/>
    </w:p>
    <w:p w:rsidR="003B76B0" w:rsidRPr="002073A2" w:rsidRDefault="003B76B0" w:rsidP="002073A2">
      <w:pPr>
        <w:spacing w:line="276" w:lineRule="auto"/>
        <w:jc w:val="right"/>
        <w:rPr>
          <w:b/>
        </w:rPr>
      </w:pPr>
      <w:r w:rsidRPr="002073A2">
        <w:rPr>
          <w:b/>
        </w:rPr>
        <w:t>James A. Gordon</w:t>
      </w:r>
    </w:p>
    <w:p w:rsidR="002073A2" w:rsidRPr="00F2501E" w:rsidRDefault="002073A2" w:rsidP="006462EC">
      <w:pPr>
        <w:spacing w:line="276" w:lineRule="auto"/>
        <w:jc w:val="center"/>
      </w:pPr>
    </w:p>
    <w:p w:rsidR="003B76B0" w:rsidRPr="006462EC" w:rsidRDefault="003B76B0" w:rsidP="0012285D">
      <w:pPr>
        <w:pStyle w:val="Heading2"/>
        <w:spacing w:line="480" w:lineRule="auto"/>
        <w:rPr>
          <w:sz w:val="24"/>
        </w:rPr>
      </w:pPr>
      <w:r w:rsidRPr="006462EC">
        <w:rPr>
          <w:sz w:val="24"/>
        </w:rPr>
        <w:t>Chapter 1 - Productivity and the Environment, a Firm-Level Approach</w:t>
      </w:r>
    </w:p>
    <w:p w:rsidR="003B76B0" w:rsidRPr="006462EC" w:rsidRDefault="003B76B0" w:rsidP="0012285D">
      <w:pPr>
        <w:spacing w:line="480" w:lineRule="auto"/>
        <w:ind w:firstLine="360"/>
      </w:pPr>
      <w:r w:rsidRPr="006462EC">
        <w:t>In this first chapter,</w:t>
      </w:r>
      <w:r w:rsidR="008F0B91">
        <w:t xml:space="preserve"> I</w:t>
      </w:r>
      <w:r w:rsidRPr="006462EC">
        <w:t xml:space="preserve"> explore whether abnormally high temperature and particulate matter pollution</w:t>
      </w:r>
      <w:r w:rsidR="001C44FB">
        <w:t xml:space="preserve"> affect the traditional economic</w:t>
      </w:r>
      <w:r w:rsidRPr="006462EC">
        <w:t xml:space="preserve"> inputs to production</w:t>
      </w:r>
      <w:r w:rsidR="001C44FB">
        <w:t xml:space="preserve">: </w:t>
      </w:r>
      <w:r w:rsidRPr="006462EC">
        <w:t>labor, capita</w:t>
      </w:r>
      <w:r w:rsidR="001A25AC" w:rsidRPr="006462EC">
        <w:t>l</w:t>
      </w:r>
      <w:r w:rsidR="001C44FB">
        <w:t>,</w:t>
      </w:r>
      <w:r w:rsidR="001A25AC" w:rsidRPr="006462EC">
        <w:t xml:space="preserve"> and total factor productivity</w:t>
      </w:r>
      <w:r w:rsidR="009E78C9">
        <w:t xml:space="preserve"> (TFP)</w:t>
      </w:r>
      <w:r w:rsidR="001A25AC" w:rsidRPr="006462EC">
        <w:t>.</w:t>
      </w:r>
    </w:p>
    <w:p w:rsidR="003B76B0" w:rsidRPr="006462EC" w:rsidRDefault="003B76B0" w:rsidP="0012285D">
      <w:pPr>
        <w:pStyle w:val="Heading3"/>
        <w:numPr>
          <w:ilvl w:val="1"/>
          <w:numId w:val="1"/>
        </w:numPr>
        <w:spacing w:line="480" w:lineRule="auto"/>
        <w:rPr>
          <w:sz w:val="22"/>
        </w:rPr>
      </w:pPr>
      <w:r w:rsidRPr="006462EC">
        <w:rPr>
          <w:sz w:val="22"/>
        </w:rPr>
        <w:t>Background and literature</w:t>
      </w:r>
    </w:p>
    <w:p w:rsidR="003B76B0" w:rsidRPr="006462EC" w:rsidRDefault="001C7B05" w:rsidP="006462EC">
      <w:pPr>
        <w:spacing w:line="480" w:lineRule="auto"/>
        <w:ind w:firstLine="360"/>
      </w:pPr>
      <w:r w:rsidRPr="006462EC">
        <w:t>There is a growing body of literature investigating the effect of air quality and temperature on certain measurable outcomes of interest to policy makers and economists. From a productivity perspective, such research includes measuring the effects of air pollution on call center staff output</w:t>
      </w:r>
      <w:r w:rsidR="00AC1A86" w:rsidRPr="006462EC">
        <w:t xml:space="preserve"> </w:t>
      </w:r>
      <w:r w:rsidR="00AC1A86" w:rsidRPr="006462EC">
        <w:fldChar w:fldCharType="begin" w:fldLock="1"/>
      </w:r>
      <w:r w:rsidR="004E427E">
        <w:instrText>ADDIN CSL_CITATION { "citationItems" : [ { "id" : "ITEM-1", "itemData" : { "author" : [ { "dropping-particle" : "", "family" : "Cai", "given" : "Xiqian", "non-dropping-particle" : "", "parse-names" : false, "suffix" : "" }, { "dropping-particle" : "", "family" : "Lu", "given" : "Yi", "non-dropping-particle" : "", "parse-names" : false, "suffix" : "" }, { "dropping-particle" : "", "family" : "Wang", "given" : "Jin", "non-dropping-particle" : "", "parse-names" : false, "suffix" : "" } ], "id" : "ITEM-1", "issued" : { "date-parts" : [ [ "2016" ] ] }, "title" : "The Impact of Temperature on Manufacturing Worker Productivity : Evidence from Personnel Data", "type" : "article-journal" }, "uris" : [ "http://www.mendeley.com/documents/?uuid=3c3fe6e2-c59c-4f15-9df7-70517835c6d1" ] } ], "mendeley" : { "formattedCitation" : "(Cai, Lu, and Wang 2016)", "plainTextFormattedCitation" : "(Cai, Lu, and Wang 2016)", "previouslyFormattedCitation" : "(Cai, Lu, &amp; Wang, 2016)" }, "properties" : {  }, "schema" : "https://github.com/citation-style-language/schema/raw/master/csl-citation.json" }</w:instrText>
      </w:r>
      <w:r w:rsidR="00AC1A86" w:rsidRPr="006462EC">
        <w:fldChar w:fldCharType="separate"/>
      </w:r>
      <w:r w:rsidR="004E427E" w:rsidRPr="004E427E">
        <w:rPr>
          <w:noProof/>
        </w:rPr>
        <w:t>(Cai, Lu, and Wang 2016)</w:t>
      </w:r>
      <w:r w:rsidR="00AC1A86" w:rsidRPr="006462EC">
        <w:fldChar w:fldCharType="end"/>
      </w:r>
      <w:r w:rsidRPr="006462EC">
        <w:t xml:space="preserve">, productivity in physically strenuous jobs </w:t>
      </w:r>
      <w:r w:rsidRPr="006462EC">
        <w:fldChar w:fldCharType="begin" w:fldLock="1"/>
      </w:r>
      <w:r w:rsidR="004E427E">
        <w:instrText>ADDIN CSL_CITATION { "citationItems" : [ { "id" : "ITEM-1", "itemData" : { "author" : [ { "dropping-particle" : "", "family" : "Graff Zivin", "given" : "Joshua", "non-dropping-particle" : "", "parse-names" : false, "suffix" : "" }, { "dropping-particle" : "", "family" : "Neidell", "given" : "Matthew", "non-dropping-particle" : "", "parse-names" : false, "suffix" : "" } ], "id" : "ITEM-1", "issue" : "7", "issued" : { "date-parts" : [ [ "2012" ] ] }, "page" : "3652-3673", "title" : "The Impact of Pollution on Worker Productivity", "type" : "article-journal", "volume" : "102" }, "uris" : [ "http://www.mendeley.com/documents/?uuid=b7e2d6f9-c3da-4225-9578-8ff51db7945a" ] } ], "mendeley" : { "formattedCitation" : "(Graff Zivin and Neidell 2012)", "plainTextFormattedCitation" : "(Graff Zivin and Neidell 2012)", "previouslyFormattedCitation" : "(Graff Zivin &amp; Neidell, 2012)" }, "properties" : {  }, "schema" : "https://github.com/citation-style-language/schema/raw/master/csl-citation.json" }</w:instrText>
      </w:r>
      <w:r w:rsidRPr="006462EC">
        <w:fldChar w:fldCharType="separate"/>
      </w:r>
      <w:r w:rsidR="004E427E" w:rsidRPr="004E427E">
        <w:rPr>
          <w:noProof/>
        </w:rPr>
        <w:t>(Graff Zivin and Neidell 2012)</w:t>
      </w:r>
      <w:r w:rsidRPr="006462EC">
        <w:fldChar w:fldCharType="end"/>
      </w:r>
      <w:r w:rsidR="0012285D" w:rsidRPr="006462EC">
        <w:t>,</w:t>
      </w:r>
      <w:r w:rsidRPr="006462EC">
        <w:t xml:space="preserve"> research on particulate matter pollution and fruit packers in California</w:t>
      </w:r>
      <w:r w:rsidR="00AC1A86" w:rsidRPr="006462EC">
        <w:t xml:space="preserve"> </w:t>
      </w:r>
      <w:r w:rsidR="00AC1A86" w:rsidRPr="006462EC">
        <w:fldChar w:fldCharType="begin" w:fldLock="1"/>
      </w:r>
      <w:r w:rsidR="004E427E">
        <w:instrText>ADDIN CSL_CITATION { "citationItems" : [ { "id" : "ITEM-1", "itemData" : { "DOI" : "10.1257/pol.20150085", "ISBN" : "0254-5330", "ISSN" : "1945774X", "PMID" : "1576721", "abstract" : "We study the effect of outdoor air pollution on the productivity of indoor workers at a pear-packing factory. Increases in fine particulate matter (PM2.5), a pollutant that readily penetrates indoors, leads to significant decreases in productivity, with effects arising at levels below air quality standards. In contrast, pollutants that do not travel indoors, such as ozone, have little, if any, effect on productivity. This effect of outdoor pollution on indoor worker productivity suggests an overlooked consequence of pollution. Back-of-the-envelope calculations suggest the labor savings from nationwide reductions in PM2.5 generated a sizable fraction of total welfare benefits. (JEL D24, J24, L66, Q13, Q51, Q53)", "author" : [ { "dropping-particle" : "", "family" : "Chang", "given" : "Tom", "non-dropping-particle" : "", "parse-names" : false, "suffix" : "" }, { "dropping-particle" : "", "family" : "Zivin", "given" : "Joshua Graff", "non-dropping-particle" : "", "parse-names" : false, "suffix" : "" }, { "dropping-particle" : "", "family" : "Gross", "given" : "Tal", "non-dropping-particle" : "", "parse-names" : false, "suffix" : "" }, { "dropping-particle" : "", "family" : "Neidell", "given" : "Matthew", "non-dropping-particle" : "", "parse-names" : false, "suffix" : "" } ], "container-title" : "American Economic Journal: Economic Policy", "id" : "ITEM-1", "issue" : "3", "issued" : { "date-parts" : [ [ "2016" ] ] }, "note" : "PM 2.5 paper\n&amp;quot;Moulton effect&amp;quot; - so cluster on the six-day average.\n&amp;quot;If hours worked responds to changes in pollution, then any estimated effects of pollution on pro- ductivity could suffer from sample selection bias.&amp;quot; - pg 149\n- fig.3 pg 151 - Not much evidence PM tracks temp\n- pg 156 - found both PM2.5 and temperature affected worker productivity. Building had no air con. 72F was the inflection point. Accord to (Hancock, Ross, and Szalma 2007)\n- Suggested containing PM2.5 is a public policy issue (pg 164)\n- In light of growing evidence that PM2.5 exposure can affect cognitive performance (Lavy, Ebenstein, and Roth 2014) pg 164", "page" : "141-169", "title" : "Particulate pollution and the productivity of pear packers", "type" : "article-journal", "volume" : "8" }, "uris" : [ "http://www.mendeley.com/documents/?uuid=226110d2-4fb5-4b46-838d-7ebfffbfc0f1" ] } ], "mendeley" : { "formattedCitation" : "(Chang et al. 2016)", "plainTextFormattedCitation" : "(Chang et al. 2016)", "previouslyFormattedCitation" : "(Chang, Zivin, Gross, &amp; Neidell, 2016)" }, "properties" : {  }, "schema" : "https://github.com/citation-style-language/schema/raw/master/csl-citation.json" }</w:instrText>
      </w:r>
      <w:r w:rsidR="00AC1A86" w:rsidRPr="006462EC">
        <w:fldChar w:fldCharType="separate"/>
      </w:r>
      <w:r w:rsidR="004E427E" w:rsidRPr="004E427E">
        <w:rPr>
          <w:noProof/>
        </w:rPr>
        <w:t>(Chang et al. 2016)</w:t>
      </w:r>
      <w:r w:rsidR="00AC1A86" w:rsidRPr="006462EC">
        <w:fldChar w:fldCharType="end"/>
      </w:r>
      <w:r w:rsidRPr="006462EC">
        <w:t xml:space="preserve">, and extreme temperature on productivity in China </w:t>
      </w:r>
      <w:r w:rsidRPr="006462EC">
        <w:fldChar w:fldCharType="begin" w:fldLock="1"/>
      </w:r>
      <w:r w:rsidR="004E427E">
        <w:instrText>ADDIN CSL_CITATION { "citationItems" : [ { "id" : "ITEM-1", "itemData" : { "author" : [ { "dropping-particle" : "", "family" : "Zhang", "given" : "Peng", "non-dropping-particle" : "", "parse-names" : false, "suffix" : "" }, { "dropping-particle" : "", "family" : "Deschenes", "given" : "Olivier", "non-dropping-particle" : "", "parse-names" : false, "suffix" : "" }, { "dropping-particle" : "", "family" : "Meng", "given" : "Kyle", "non-dropping-particle" : "", "parse-names" : false, "suffix" : "" }, { "dropping-particle" : "", "family" : "Zhang", "given" : "Junjie", "non-dropping-particle" : "", "parse-names" : false, "suffix" : "" } ], "container-title" : "JEEM/NBER", "id" : "ITEM-1", "issued" : { "date-parts" : [ [ "2017" ] ] }, "note" : "Deschenes' China TFP paper.\nKey points\n- constructing TFP varies from WB\n-Deconstructing temperature for annualized financial data\n- Shows an effect in TFP, not labor or capital so much", "title" : "Temperature Effects on Productivity and Factor Reallocation :", "type" : "article-journal" }, "uris" : [ "http://www.mendeley.com/documents/?uuid=d14e23d0-63a3-45fd-a162-0c168d0b99a6" ] } ], "mendeley" : { "formattedCitation" : "(Zhang et al. 2017)", "plainTextFormattedCitation" : "(Zhang et al. 2017)", "previouslyFormattedCitation" : "(Zhang, Deschenes, Meng, &amp; Zhang, 2017)" }, "properties" : {  }, "schema" : "https://github.com/citation-style-language/schema/raw/master/csl-citation.json" }</w:instrText>
      </w:r>
      <w:r w:rsidRPr="006462EC">
        <w:fldChar w:fldCharType="separate"/>
      </w:r>
      <w:r w:rsidR="004E427E" w:rsidRPr="004E427E">
        <w:rPr>
          <w:noProof/>
        </w:rPr>
        <w:t>(Zhang et al. 2017)</w:t>
      </w:r>
      <w:r w:rsidRPr="006462EC">
        <w:fldChar w:fldCharType="end"/>
      </w:r>
      <w:r w:rsidRPr="006462EC">
        <w:t xml:space="preserve">. </w:t>
      </w:r>
      <w:r w:rsidR="00F2501E">
        <w:t>This chapter</w:t>
      </w:r>
      <w:r w:rsidRPr="006462EC">
        <w:t xml:space="preserve"> adds to this growing literature by comparing the effect of temperature and particulate matter across multiple firms in multiple countries. </w:t>
      </w:r>
    </w:p>
    <w:p w:rsidR="001C7B05" w:rsidRPr="006462EC" w:rsidRDefault="001C7B05" w:rsidP="0012285D">
      <w:pPr>
        <w:pStyle w:val="Heading3"/>
        <w:numPr>
          <w:ilvl w:val="1"/>
          <w:numId w:val="1"/>
        </w:numPr>
        <w:spacing w:line="480" w:lineRule="auto"/>
        <w:rPr>
          <w:sz w:val="22"/>
        </w:rPr>
      </w:pPr>
      <w:r w:rsidRPr="006462EC">
        <w:rPr>
          <w:sz w:val="22"/>
        </w:rPr>
        <w:t>The Theoretical Structure</w:t>
      </w:r>
    </w:p>
    <w:p w:rsidR="003035D0" w:rsidRPr="00B03B37" w:rsidRDefault="003035D0">
      <w:pPr>
        <w:spacing w:line="480" w:lineRule="auto"/>
        <w:ind w:firstLine="360"/>
      </w:pPr>
      <w:r w:rsidRPr="006462EC">
        <w:t>Understanding the potential effect of temperature and pollution on firm-level productivity requires first looking at the relationship between manufacturing inputs and outputs</w:t>
      </w:r>
      <w:r w:rsidR="00DE2EDB">
        <w:t xml:space="preserve">. </w:t>
      </w:r>
      <w:r w:rsidRPr="006462EC">
        <w:t xml:space="preserve">I </w:t>
      </w:r>
      <w:r w:rsidR="001C44FB">
        <w:t>use</w:t>
      </w:r>
      <w:r w:rsidR="001C44FB" w:rsidRPr="006462EC">
        <w:t xml:space="preserve"> </w:t>
      </w:r>
      <w:r w:rsidRPr="006462EC">
        <w:t>a Cobb-Douglas production function</w:t>
      </w:r>
      <w:r w:rsidR="001C44FB">
        <w:t>,</w:t>
      </w:r>
      <w:r w:rsidRPr="006462EC">
        <w:t xml:space="preserve"> which argues that firm output is a function of labor, capital and </w:t>
      </w:r>
      <w:r w:rsidR="001C44FB" w:rsidRPr="006462EC">
        <w:t>total factor productivity</w:t>
      </w:r>
      <w:r w:rsidR="00716DAA">
        <w:t xml:space="preserve"> (a measure representing improvements to input performance,</w:t>
      </w:r>
      <w:r w:rsidR="00D93581">
        <w:t xml:space="preserve"> such as knowledge of workers or advanced technology</w:t>
      </w:r>
      <w:r w:rsidR="00716DAA">
        <w:t>)</w:t>
      </w:r>
      <w:r w:rsidR="00D93581">
        <w:t xml:space="preserve">. </w:t>
      </w:r>
      <w:r w:rsidR="001C44FB">
        <w:t xml:space="preserve">By </w:t>
      </w:r>
      <w:r w:rsidR="006645A7">
        <w:t xml:space="preserve">measuring changes in </w:t>
      </w:r>
      <w:r w:rsidR="001C44FB">
        <w:t xml:space="preserve">capital, labor, and </w:t>
      </w:r>
      <w:r w:rsidR="00D93581" w:rsidRPr="006462EC">
        <w:t>total factor productivity</w:t>
      </w:r>
      <w:r w:rsidR="001C44FB">
        <w:t xml:space="preserve">, one can then see if degrading environmental conditions decrease </w:t>
      </w:r>
      <w:r w:rsidR="006645A7">
        <w:t>input productivity</w:t>
      </w:r>
      <w:r w:rsidR="001C44FB">
        <w:t>.</w:t>
      </w:r>
    </w:p>
    <w:p w:rsidR="006E712E" w:rsidRPr="006462EC" w:rsidRDefault="003035D0" w:rsidP="0012285D">
      <w:pPr>
        <w:pStyle w:val="Heading3"/>
        <w:spacing w:line="480" w:lineRule="auto"/>
        <w:rPr>
          <w:i/>
          <w:sz w:val="22"/>
        </w:rPr>
      </w:pPr>
      <w:r w:rsidRPr="006462EC">
        <w:rPr>
          <w:i/>
          <w:sz w:val="22"/>
        </w:rPr>
        <w:t>Goals and Objectives</w:t>
      </w:r>
    </w:p>
    <w:p w:rsidR="00D93581" w:rsidRDefault="00BE00F0" w:rsidP="0012285D">
      <w:pPr>
        <w:spacing w:line="480" w:lineRule="auto"/>
        <w:ind w:firstLine="360"/>
      </w:pPr>
      <w:r>
        <w:t xml:space="preserve">Do degrading environmental conditions, such as high temperatures and air pollution: </w:t>
      </w:r>
    </w:p>
    <w:p w:rsidR="00D93581" w:rsidRDefault="006645A7" w:rsidP="0012285D">
      <w:pPr>
        <w:pStyle w:val="ListParagraph"/>
        <w:numPr>
          <w:ilvl w:val="0"/>
          <w:numId w:val="2"/>
        </w:numPr>
        <w:spacing w:line="480" w:lineRule="auto"/>
      </w:pPr>
      <w:r>
        <w:lastRenderedPageBreak/>
        <w:t>E</w:t>
      </w:r>
      <w:r w:rsidR="00D93581">
        <w:t>ffect production output</w:t>
      </w:r>
      <w:r w:rsidR="00B03B37">
        <w:t xml:space="preserve"> through changes to input productivity</w:t>
      </w:r>
      <w:r w:rsidR="00D93581">
        <w:t>?</w:t>
      </w:r>
    </w:p>
    <w:p w:rsidR="00D93581" w:rsidRDefault="00BE00F0" w:rsidP="0012285D">
      <w:pPr>
        <w:pStyle w:val="ListParagraph"/>
        <w:numPr>
          <w:ilvl w:val="0"/>
          <w:numId w:val="2"/>
        </w:numPr>
        <w:spacing w:line="480" w:lineRule="auto"/>
      </w:pPr>
      <w:r>
        <w:t>Differentially affect production output,</w:t>
      </w:r>
      <w:r w:rsidR="00716DAA">
        <w:t xml:space="preserve"> by industrial sector or country?</w:t>
      </w:r>
      <w:r w:rsidR="00D93581">
        <w:t xml:space="preserve"> </w:t>
      </w:r>
    </w:p>
    <w:p w:rsidR="006E712E" w:rsidRPr="006462EC" w:rsidRDefault="006E712E" w:rsidP="0012285D">
      <w:pPr>
        <w:pStyle w:val="Heading3"/>
        <w:numPr>
          <w:ilvl w:val="1"/>
          <w:numId w:val="1"/>
        </w:numPr>
        <w:spacing w:line="480" w:lineRule="auto"/>
        <w:rPr>
          <w:sz w:val="22"/>
        </w:rPr>
      </w:pPr>
      <w:r w:rsidRPr="006462EC">
        <w:rPr>
          <w:sz w:val="22"/>
        </w:rPr>
        <w:t>Data and Method</w:t>
      </w:r>
    </w:p>
    <w:p w:rsidR="00D93581" w:rsidRDefault="006E712E" w:rsidP="0012285D">
      <w:pPr>
        <w:spacing w:line="480" w:lineRule="auto"/>
        <w:ind w:firstLine="720"/>
      </w:pPr>
      <w:r w:rsidRPr="00F2501E">
        <w:t xml:space="preserve">Firm level data used in this study comes from the World Bank Enterprise </w:t>
      </w:r>
      <w:r w:rsidR="00D93581" w:rsidRPr="00F2501E">
        <w:t>Survey</w:t>
      </w:r>
      <w:r w:rsidR="00D93581">
        <w:t xml:space="preserve">, and consists of </w:t>
      </w:r>
      <w:r w:rsidR="00D93581" w:rsidRPr="00F2501E">
        <w:t>127,000 firms</w:t>
      </w:r>
      <w:r w:rsidR="00D93581">
        <w:t>,</w:t>
      </w:r>
      <w:r w:rsidR="00D93581" w:rsidRPr="00F2501E">
        <w:t xml:space="preserve"> acros</w:t>
      </w:r>
      <w:r w:rsidR="00D93581">
        <w:t xml:space="preserve">s 23 sectors and 123 countries, and covering </w:t>
      </w:r>
      <w:r w:rsidR="00AD1E95" w:rsidRPr="00F2501E">
        <w:t>2006</w:t>
      </w:r>
      <w:r w:rsidR="00D93581">
        <w:t xml:space="preserve"> to </w:t>
      </w:r>
      <w:r w:rsidR="00AD1E95" w:rsidRPr="00F2501E">
        <w:t xml:space="preserve">2017. </w:t>
      </w:r>
      <w:r w:rsidR="00D93581">
        <w:t xml:space="preserve">Temperature data comes from the Berkley Earth dataset, while particulate matter data comes from the </w:t>
      </w:r>
      <w:r w:rsidR="00AD1E95" w:rsidRPr="00F2501E">
        <w:t xml:space="preserve">World Health Organization’s PM2.5 and PM10 city level dataset. </w:t>
      </w:r>
    </w:p>
    <w:p w:rsidR="0012285D" w:rsidRPr="00F2501E" w:rsidRDefault="002073A2" w:rsidP="0012285D">
      <w:pPr>
        <w:spacing w:line="480" w:lineRule="auto"/>
        <w:ind w:firstLine="720"/>
      </w:pPr>
      <w:r>
        <w:t xml:space="preserve">My </w:t>
      </w:r>
      <w:r w:rsidR="0012285D" w:rsidRPr="00F2501E">
        <w:t xml:space="preserve">empirical strategy </w:t>
      </w:r>
      <w:r>
        <w:t xml:space="preserve">is </w:t>
      </w:r>
      <w:r w:rsidR="0012285D" w:rsidRPr="00F2501E">
        <w:t xml:space="preserve">to estimate the effect of environmental indicators on productivity outcomes using </w:t>
      </w:r>
      <w:r w:rsidR="009E78C9">
        <w:t xml:space="preserve">a fixed effects approach, with controls for </w:t>
      </w:r>
      <w:r w:rsidR="0012285D" w:rsidRPr="00F2501E">
        <w:t>country</w:t>
      </w:r>
      <w:r w:rsidR="009E78C9">
        <w:t>,</w:t>
      </w:r>
      <w:r w:rsidR="0012285D" w:rsidRPr="00F2501E">
        <w:t xml:space="preserve"> year</w:t>
      </w:r>
      <w:r w:rsidR="009E78C9">
        <w:t xml:space="preserve">, and sector levels. My equation for </w:t>
      </w:r>
      <w:r w:rsidR="0012285D" w:rsidRPr="00F2501E">
        <w:t xml:space="preserve">sector </w:t>
      </w:r>
      <w:r w:rsidR="0012285D" w:rsidRPr="00B03B37">
        <w:rPr>
          <w:i/>
        </w:rPr>
        <w:t>j</w:t>
      </w:r>
      <w:r w:rsidR="0012285D" w:rsidRPr="00F2501E">
        <w:t xml:space="preserve">, </w:t>
      </w:r>
      <w:r w:rsidR="009E78C9">
        <w:t>f</w:t>
      </w:r>
      <w:r w:rsidR="0012285D" w:rsidRPr="00F2501E">
        <w:t xml:space="preserve">irm </w:t>
      </w:r>
      <w:r w:rsidR="0012285D" w:rsidRPr="00B03B37">
        <w:rPr>
          <w:i/>
        </w:rPr>
        <w:t>i</w:t>
      </w:r>
      <w:r w:rsidR="0012285D" w:rsidRPr="00F2501E">
        <w:t xml:space="preserve">, in year </w:t>
      </w:r>
      <w:r w:rsidR="0012285D" w:rsidRPr="00B03B37">
        <w:rPr>
          <w:i/>
        </w:rPr>
        <w:t>t</w:t>
      </w:r>
      <w:r w:rsidR="009E78C9">
        <w:t xml:space="preserve"> is:</w:t>
      </w:r>
    </w:p>
    <w:p w:rsidR="0012285D" w:rsidRPr="00F2501E" w:rsidRDefault="00FA221B" w:rsidP="0012285D">
      <w:pPr>
        <w:spacing w:line="480" w:lineRule="auto"/>
        <w:ind w:firstLine="720"/>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ijt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ENV</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city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BUS</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ECON</m:t>
                  </m:r>
                </m:e>
                <m:sub>
                  <m:r>
                    <w:rPr>
                      <w:rFonts w:ascii="Cambria Math" w:hAnsi="Cambria Math"/>
                    </w:rPr>
                    <m:t>jt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ijt</m:t>
                  </m:r>
                </m:sub>
              </m:sSub>
              <m:r>
                <w:rPr>
                  <w:rFonts w:ascii="Cambria Math" w:hAnsi="Cambria Math"/>
                </w:rPr>
                <m:t xml:space="preserve"> #(1.1)</m:t>
              </m:r>
            </m:e>
          </m:eqArr>
        </m:oMath>
      </m:oMathPara>
    </w:p>
    <w:p w:rsidR="00AD1E95" w:rsidRPr="00F2501E" w:rsidRDefault="009E78C9" w:rsidP="0012285D">
      <w:pPr>
        <w:spacing w:line="480" w:lineRule="auto"/>
        <w:ind w:firstLine="360"/>
      </w:pPr>
      <w:r>
        <w:rPr>
          <w:rFonts w:eastAsiaTheme="minorEastAsia"/>
        </w:rPr>
        <w:t xml:space="preserve">In this equation, </w:t>
      </w:r>
      <w:r>
        <w:rPr>
          <w:rFonts w:eastAsiaTheme="minorEastAsia"/>
          <w:i/>
        </w:rPr>
        <w:t xml:space="preserve">P </w:t>
      </w:r>
      <w:r>
        <w:rPr>
          <w:rFonts w:eastAsiaTheme="minorEastAsia"/>
        </w:rPr>
        <w:t xml:space="preserve">is </w:t>
      </w:r>
      <w:r w:rsidR="004F645E">
        <w:rPr>
          <w:rFonts w:eastAsiaTheme="minorEastAsia"/>
        </w:rPr>
        <w:t>the</w:t>
      </w:r>
      <w:r>
        <w:rPr>
          <w:rFonts w:eastAsiaTheme="minorEastAsia"/>
        </w:rPr>
        <w:t xml:space="preserve"> productivity input</w:t>
      </w:r>
      <w:r w:rsidR="004F645E">
        <w:rPr>
          <w:rFonts w:eastAsiaTheme="minorEastAsia"/>
        </w:rPr>
        <w:t>s</w:t>
      </w:r>
      <w:r>
        <w:rPr>
          <w:rFonts w:eastAsiaTheme="minorEastAsia"/>
        </w:rPr>
        <w:t xml:space="preserve"> (labor, capital, </w:t>
      </w:r>
      <w:r w:rsidR="004F645E">
        <w:rPr>
          <w:rFonts w:eastAsiaTheme="minorEastAsia"/>
        </w:rPr>
        <w:t>and</w:t>
      </w:r>
      <w:r>
        <w:rPr>
          <w:rFonts w:eastAsiaTheme="minorEastAsia"/>
        </w:rPr>
        <w:t xml:space="preserve"> TFP).</w:t>
      </w:r>
      <w:r w:rsidR="0012285D" w:rsidRPr="00F2501E">
        <w:rPr>
          <w:rFonts w:eastAsiaTheme="minorEastAsia"/>
        </w:rPr>
        <w:t xml:space="preserve"> </w:t>
      </w:r>
      <w:r>
        <w:rPr>
          <w:rFonts w:eastAsiaTheme="minorEastAsia"/>
        </w:rPr>
        <w:t xml:space="preserve">The exogenous variables are </w:t>
      </w:r>
      <w:r w:rsidR="0012285D" w:rsidRPr="00B03B37">
        <w:rPr>
          <w:rFonts w:eastAsiaTheme="minorEastAsia"/>
          <w:i/>
        </w:rPr>
        <w:t>ENV</w:t>
      </w:r>
      <w:r>
        <w:rPr>
          <w:rFonts w:eastAsiaTheme="minorEastAsia"/>
        </w:rPr>
        <w:t xml:space="preserve">, environment, </w:t>
      </w:r>
      <w:r>
        <w:rPr>
          <w:rFonts w:eastAsiaTheme="minorEastAsia"/>
          <w:i/>
        </w:rPr>
        <w:t xml:space="preserve">city, </w:t>
      </w:r>
      <w:r>
        <w:rPr>
          <w:rFonts w:eastAsiaTheme="minorEastAsia"/>
        </w:rPr>
        <w:t xml:space="preserve">the firm city location, </w:t>
      </w:r>
      <w:r>
        <w:rPr>
          <w:rFonts w:eastAsiaTheme="minorEastAsia"/>
          <w:i/>
        </w:rPr>
        <w:t>BUS,</w:t>
      </w:r>
      <w:r>
        <w:rPr>
          <w:rFonts w:eastAsiaTheme="minorEastAsia"/>
        </w:rPr>
        <w:t xml:space="preserve"> a vector of business level controls originating from the larger World Bank Economic Survey dataset,</w:t>
      </w:r>
      <w:r w:rsidR="0012285D" w:rsidRPr="00F2501E">
        <w:rPr>
          <w:rFonts w:eastAsiaTheme="minorEastAsia"/>
        </w:rPr>
        <w:t xml:space="preserve"> </w:t>
      </w:r>
      <w:r w:rsidR="0012285D" w:rsidRPr="00B03B37">
        <w:rPr>
          <w:rFonts w:eastAsiaTheme="minorEastAsia"/>
          <w:i/>
        </w:rPr>
        <w:t>ECON</w:t>
      </w:r>
      <w:r w:rsidR="0012285D" w:rsidRPr="00F2501E">
        <w:rPr>
          <w:rFonts w:eastAsiaTheme="minorEastAsia"/>
        </w:rPr>
        <w:t xml:space="preserve">, </w:t>
      </w:r>
      <w:r>
        <w:rPr>
          <w:rFonts w:eastAsiaTheme="minorEastAsia"/>
        </w:rPr>
        <w:t xml:space="preserve">a vector of </w:t>
      </w:r>
      <w:r w:rsidR="0012285D" w:rsidRPr="00F2501E">
        <w:rPr>
          <w:rFonts w:eastAsiaTheme="minorEastAsia"/>
        </w:rPr>
        <w:t>economic level controls such as GDP growth rates</w:t>
      </w:r>
      <w:r>
        <w:rPr>
          <w:rFonts w:eastAsiaTheme="minorEastAsia"/>
        </w:rPr>
        <w:t xml:space="preserve"> and unemployment, and</w:t>
      </w:r>
      <w:r w:rsidR="0012285D" w:rsidRPr="00F2501E">
        <w:rPr>
          <w:rFonts w:eastAsiaTheme="minorEastAsia"/>
        </w:rPr>
        <w:t xml:space="preserve"> </w:t>
      </w:r>
      <m:oMath>
        <m:acc>
          <m:accPr>
            <m:chr m:val="̅"/>
            <m:ctrlPr>
              <w:rPr>
                <w:rFonts w:ascii="Cambria Math" w:hAnsi="Cambria Math"/>
                <w:i/>
              </w:rPr>
            </m:ctrlPr>
          </m:accPr>
          <m:e>
            <m:r>
              <w:rPr>
                <w:rFonts w:ascii="Cambria Math" w:hAnsi="Cambria Math"/>
              </w:rPr>
              <m:t>X</m:t>
            </m:r>
          </m:e>
        </m:acc>
      </m:oMath>
      <w:r w:rsidR="0012285D" w:rsidRPr="00F2501E">
        <w:rPr>
          <w:rFonts w:eastAsiaTheme="minorEastAsia"/>
        </w:rPr>
        <w:t xml:space="preserve">, </w:t>
      </w:r>
      <w:r>
        <w:rPr>
          <w:rFonts w:eastAsiaTheme="minorEastAsia"/>
        </w:rPr>
        <w:t xml:space="preserve">a vector of </w:t>
      </w:r>
      <w:r w:rsidR="0012285D" w:rsidRPr="00F2501E">
        <w:rPr>
          <w:rFonts w:eastAsiaTheme="minorEastAsia"/>
        </w:rPr>
        <w:t>other relevant controls such as sector and country.</w:t>
      </w:r>
    </w:p>
    <w:p w:rsidR="006B6E45" w:rsidRDefault="00596E97" w:rsidP="0012285D">
      <w:pPr>
        <w:pStyle w:val="Heading3"/>
        <w:numPr>
          <w:ilvl w:val="1"/>
          <w:numId w:val="1"/>
        </w:numPr>
        <w:spacing w:line="480" w:lineRule="auto"/>
        <w:rPr>
          <w:sz w:val="22"/>
        </w:rPr>
      </w:pPr>
      <w:r w:rsidRPr="006462EC">
        <w:rPr>
          <w:sz w:val="22"/>
        </w:rPr>
        <w:t>Implications and Contributions</w:t>
      </w:r>
    </w:p>
    <w:p w:rsidR="00DE2EDB" w:rsidRDefault="004F645E" w:rsidP="00B03B37">
      <w:pPr>
        <w:spacing w:line="480" w:lineRule="auto"/>
      </w:pPr>
      <w:r>
        <w:t xml:space="preserve">The literature demonstrates that degrading environmental conditions can decrease the productivity of firm inputs, often with such subtlety that firm owners are not immediately aware. This paper broadly assesses the influence of environmental conditions on input efficiency, thus providing generalizable advice to firm owners, scholars, and public policy makers alike on how to tackle environmental protection with the economy in mind. It also assesses how </w:t>
      </w:r>
      <w:r w:rsidR="00596E97" w:rsidRPr="006462EC">
        <w:t xml:space="preserve">public policy aimed at reducing climate change or improving air quality </w:t>
      </w:r>
      <w:r>
        <w:t>could</w:t>
      </w:r>
      <w:r w:rsidR="00596E97" w:rsidRPr="006462EC">
        <w:t xml:space="preserve"> benefit certain sectors of the economy more than others.</w:t>
      </w:r>
      <w:r w:rsidR="00B03B37">
        <w:t xml:space="preserve"> Key limitations include whether firms and countries in the data are representative of the broader </w:t>
      </w:r>
      <w:r w:rsidR="00B03B37">
        <w:lastRenderedPageBreak/>
        <w:t>population, whether World Bank calculations of productivity are accurate, and whether the environmental measures are fine enough to discern a causative effect.</w:t>
      </w:r>
    </w:p>
    <w:p w:rsidR="00596E97" w:rsidRDefault="00596E97" w:rsidP="0012285D">
      <w:pPr>
        <w:pStyle w:val="Heading2"/>
        <w:spacing w:line="480" w:lineRule="auto"/>
        <w:rPr>
          <w:sz w:val="24"/>
        </w:rPr>
      </w:pPr>
      <w:r w:rsidRPr="006462EC">
        <w:rPr>
          <w:sz w:val="24"/>
        </w:rPr>
        <w:t>Chapter 2 - Green Capital and Prosocial Investing –evidence on returns from investor returns in the stock market</w:t>
      </w:r>
    </w:p>
    <w:p w:rsidR="006462EC" w:rsidRPr="006462EC" w:rsidRDefault="006462EC" w:rsidP="006462EC">
      <w:pPr>
        <w:spacing w:line="480" w:lineRule="auto"/>
      </w:pPr>
      <w:r>
        <w:t xml:space="preserve">This chapter </w:t>
      </w:r>
      <w:r w:rsidR="004F645E">
        <w:t xml:space="preserve">assesses </w:t>
      </w:r>
      <w:r>
        <w:t xml:space="preserve">the role environmental indicators of corporate social responsibility </w:t>
      </w:r>
      <w:r w:rsidR="004F645E">
        <w:t xml:space="preserve">play in </w:t>
      </w:r>
      <w:r>
        <w:t>firm</w:t>
      </w:r>
      <w:r w:rsidR="004F645E">
        <w:t xml:space="preserve">-specific stock market </w:t>
      </w:r>
      <w:r>
        <w:t>performance.</w:t>
      </w:r>
    </w:p>
    <w:p w:rsidR="00596E97" w:rsidRPr="006462EC" w:rsidRDefault="00596E97" w:rsidP="0012285D">
      <w:pPr>
        <w:pStyle w:val="Heading3"/>
        <w:spacing w:line="480" w:lineRule="auto"/>
        <w:rPr>
          <w:sz w:val="22"/>
        </w:rPr>
      </w:pPr>
      <w:r w:rsidRPr="006462EC">
        <w:rPr>
          <w:sz w:val="22"/>
        </w:rPr>
        <w:t>2.1 Background and Literature</w:t>
      </w:r>
    </w:p>
    <w:p w:rsidR="0062479D" w:rsidRDefault="00596E97" w:rsidP="0012285D">
      <w:pPr>
        <w:tabs>
          <w:tab w:val="left" w:pos="810"/>
        </w:tabs>
        <w:spacing w:line="480" w:lineRule="auto"/>
      </w:pPr>
      <w:r w:rsidRPr="006462EC">
        <w:rPr>
          <w:sz w:val="20"/>
        </w:rPr>
        <w:tab/>
      </w:r>
      <w:r w:rsidR="0062479D">
        <w:rPr>
          <w:sz w:val="20"/>
        </w:rPr>
        <w:t xml:space="preserve">While </w:t>
      </w:r>
      <w:r w:rsidRPr="006462EC">
        <w:t xml:space="preserve">Corporate Social Responsibility (CSR) </w:t>
      </w:r>
      <w:r w:rsidR="0062479D">
        <w:t xml:space="preserve">is a measure of a firm’s performance on social issues (including, specifically, environmental friendliness), </w:t>
      </w:r>
      <w:r w:rsidRPr="006462EC">
        <w:t xml:space="preserve">Socially Responsibility Investment (SRI) </w:t>
      </w:r>
      <w:r w:rsidR="0062479D">
        <w:t>refers to the investment strategy of favoring socially-responsible firms. Often SRI uses CSR as its primary indicator of responsible firms</w:t>
      </w:r>
      <w:r w:rsidR="00B03B37">
        <w:t xml:space="preserve"> </w:t>
      </w:r>
      <w:r w:rsidR="004E427E">
        <w:fldChar w:fldCharType="begin" w:fldLock="1"/>
      </w:r>
      <w:r w:rsidR="004E427E">
        <w:instrText>ADDIN CSL_CITATION { "citationItems" : [ { "id" : "ITEM-1", "itemData" : { "DOI" : "10.1016/j.ecolecon.2018.01.014", "ISSN" : "09218009", "author" : [ { "dropping-particle" : "", "family" : "Blasi", "given" : "Silvia", "non-dropping-particle" : "", "parse-names" : false, "suffix" : "" }, { "dropping-particle" : "", "family" : "Caporin", "given" : "Massimiliano", "non-dropping-particle" : "", "parse-names" : false, "suffix" : "" }, { "dropping-particle" : "", "family" : "Fontini", "given" : "Fulvio", "non-dropping-particle" : "", "parse-names" : false, "suffix" : "" } ], "container-title" : "Ecological Economics", "id" : "ITEM-1", "issue" : "October 2017", "issued" : { "date-parts" : [ [ "2018" ] ] }, "page" : "218-229", "publisher" : "Elsevier", "title" : "A Multidimensional Analysis of the Relationship Between Corporate Social Responsibility and Firms' Economic Performance", "type" : "article-journal", "volume" : "147" }, "uris" : [ "http://www.mendeley.com/documents/?uuid=9d5b837f-a7cb-4dde-ac00-28b5e17824a0" ] } ], "mendeley" : { "formattedCitation" : "(Blasi, Caporin, and Fontini 2018)", "plainTextFormattedCitation" : "(Blasi, Caporin, and Fontini 2018)", "previouslyFormattedCitation" : "(Blasi, Caporin, &amp; Fontini, 2018)" }, "properties" : {  }, "schema" : "https://github.com/citation-style-language/schema/raw/master/csl-citation.json" }</w:instrText>
      </w:r>
      <w:r w:rsidR="004E427E">
        <w:fldChar w:fldCharType="separate"/>
      </w:r>
      <w:r w:rsidR="004E427E" w:rsidRPr="004E427E">
        <w:rPr>
          <w:noProof/>
        </w:rPr>
        <w:t>(Blasi, Caporin, and Fontini 2018)</w:t>
      </w:r>
      <w:r w:rsidR="004E427E">
        <w:fldChar w:fldCharType="end"/>
      </w:r>
      <w:r w:rsidR="0062479D">
        <w:t xml:space="preserve">. </w:t>
      </w:r>
    </w:p>
    <w:p w:rsidR="0012285D" w:rsidRDefault="0062479D" w:rsidP="0012285D">
      <w:pPr>
        <w:tabs>
          <w:tab w:val="left" w:pos="810"/>
        </w:tabs>
        <w:spacing w:line="480" w:lineRule="auto"/>
      </w:pPr>
      <w:r>
        <w:tab/>
        <w:t>The impact of CSR and SRI on firm capital accumulation is a long-</w:t>
      </w:r>
      <w:r w:rsidR="00596E97" w:rsidRPr="006462EC">
        <w:t>standing topics of interest for researchers</w:t>
      </w:r>
      <w:r w:rsidR="00DE2EDB">
        <w:t xml:space="preserve"> </w:t>
      </w:r>
      <w:r w:rsidR="00DE2EDB">
        <w:fldChar w:fldCharType="begin" w:fldLock="1"/>
      </w:r>
      <w:r w:rsidR="004E427E">
        <w:instrText>ADDIN CSL_CITATION { "citationItems" : [ { "id" : "ITEM-1", "itemData" : { "DOI" : "10.1007/s10551-006-9103-8", "ISBN" : "1055100903", "abstract" : "This research examines the relationship between corporate social responsibility (CSR) and company stock valuation across three regions of the world. After a brief introduction, the article gives an overview of the evolving definition of CSR as well as a discussion of the ways in which this construct has been operationalized. Presentation of the potential impact of corporate social performance on firm financial performance follows, including investor characteristics, the rationale behind their choices, and their influence on the marketplace for securities worldwide. The unique method used to select socially responsible investments is then provided that also includes a description of the quantitative techniques employed in the analyses. Results are offered subsequently, and the close describes implications for global enterprises as socially responsible investments. \u00a9 Springer Science+Business Media B.V. 2007.", "author" : [ { "dropping-particle" : "", "family" : "Hill", "given" : "R.P.", "non-dropping-particle" : "", "parse-names" : false, "suffix" : "" }, { "dropping-particle" : "", "family" : "Ainscough", "given" : "T.", "non-dropping-particle" : "", "parse-names" : false, "suffix" : "" }, { "dropping-particle" : "", "family" : "Shank", "given" : "T.", "non-dropping-particle" : "", "parse-names" : false, "suffix" : "" }, { "dropping-particle" : "", "family" : "Manullang", "given" : "D.", "non-dropping-particle" : "", "parse-names" : false, "suffix" : "" } ], "container-title" : "Journal of Business Ethics", "id" : "ITEM-1", "issue" : "2", "issued" : { "date-parts" : [ [ "2007" ] ] }, "page" : "617-633", "title" : "Corporate social responsibility and socially responsible investing: A global perspective", "type" : "article-journal", "volume" : "70" }, "uris" : [ "http://www.mendeley.com/documents/?uuid=6fb5c56a-96cb-4b17-9e48-213bd9cbd544" ] }, { "id" : "ITEM-2", "itemData" : { "author" : [ { "dropping-particle" : "", "family" : "Martin", "given" : "J", "non-dropping-particle" : "", "parse-names" : false, "suffix" : "" } ], "container-title" : "Financial World", "id" : "ITEM-2", "issue" : "March 18", "issued" : { "date-parts" : [ [ "1986" ] ] }, "page" : "32-33", "title" : "Happy Returns for Do-gooders", "type" : "article-journal" }, "uris" : [ "http://www.mendeley.com/documents/?uuid=b3c3c809-5557-4a9b-a6fd-11714acf27da" ] } ], "mendeley" : { "formattedCitation" : "(Hill et al. 2007; Martin 1986)", "plainTextFormattedCitation" : "(Hill et al. 2007; Martin 1986)", "previouslyFormattedCitation" : "(Hill, Ainscough, Shank, &amp; Manullang, 2007; Martin, 1986)" }, "properties" : {  }, "schema" : "https://github.com/citation-style-language/schema/raw/master/csl-citation.json" }</w:instrText>
      </w:r>
      <w:r w:rsidR="00DE2EDB">
        <w:fldChar w:fldCharType="separate"/>
      </w:r>
      <w:r w:rsidR="004E427E" w:rsidRPr="004E427E">
        <w:rPr>
          <w:noProof/>
        </w:rPr>
        <w:t>(Hill et al. 2007; Martin 1986)</w:t>
      </w:r>
      <w:r w:rsidR="00DE2EDB">
        <w:fldChar w:fldCharType="end"/>
      </w:r>
      <w:r w:rsidR="00596E97" w:rsidRPr="006462EC">
        <w:t>.</w:t>
      </w:r>
      <w:r>
        <w:t xml:space="preserve"> </w:t>
      </w:r>
      <w:r w:rsidR="004D5656" w:rsidRPr="006462EC">
        <w:t xml:space="preserve">Benlemih and Bitah </w:t>
      </w:r>
      <w:r w:rsidR="004D5656" w:rsidRPr="006462EC">
        <w:fldChar w:fldCharType="begin" w:fldLock="1"/>
      </w:r>
      <w:r w:rsidR="004D5656" w:rsidRPr="006462EC">
        <w:instrText>ADDIN CSL_CITATION { "citationItems" : [ { "id" : "ITEM-1", "itemData" : { "DOI" : "10.1007/s10551-016-3020-2", "ISBN" : "01674544 (ISSN)", "ISSN" : "15730697", "abstract" : "Using a sample of 21,030 US firm-year observations that represents more than 3000 individual firms over the 1998\u20132012 period, we investigate the relationship between Corporate Social Responsibility (CSR) and investment efficiency. We provide strong and robust evidence that high CSR involvement decreases investment inefficiency and consequently increases investment efficiency. This result is consistent with our expectations that high CSR firms enjoy low information asymmetry and high stakeholder solidarity (stakeholder theory). Moreover, our findings suggest that CSR components that are directly related to firms\u2019 primary stakeholders (e.g. employee relations, product characteristics, environment, and diversity) are more relevant in reducing investment inefficiency compared with those related to secondary stakeholders (e.g. human rights and community involvement). Finally, additional results show that the effect of CSR on investment efficiency is more pronounced during the subprime crisis. Taken together, our results highlight the important role that CSR plays in shaping firms\u2019 investment behaviour and efficiency. \u00a9 2016 Springer Science+Business Media Dordrecht", "author" : [ { "dropping-particle" : "", "family" : "Benlemlih", "given" : "Mohammed", "non-dropping-particle" : "", "parse-names" : false, "suffix" : "" }, { "dropping-particle" : "", "family" : "Bitar", "given" : "Mohammad", "non-dropping-particle" : "", "parse-names" : false, "suffix" : "" } ], "container-title" : "Journal of Business Ethics", "id" : "ITEM-1", "issue" : "September 2015", "issued" : { "date-parts" : [ [ "2016" ] ] }, "page" : "1-25", "publisher" : "Springer Netherlands", "title" : "Corporate Social Responsibility and Investment Efficiency", "type" : "article-journal" }, "suppress-author" : 1, "uris" : [ "http://www.mendeley.com/documents/?uuid=d0a10fec-3bb0-40c0-a515-db1de5f9a29e" ] } ], "mendeley" : { "formattedCitation" : "(2016)", "plainTextFormattedCitation" : "(2016)", "previouslyFormattedCitation" : "(2016)" }, "properties" : {  }, "schema" : "https://github.com/citation-style-language/schema/raw/master/csl-citation.json" }</w:instrText>
      </w:r>
      <w:r w:rsidR="004D5656" w:rsidRPr="006462EC">
        <w:fldChar w:fldCharType="separate"/>
      </w:r>
      <w:r w:rsidR="004D5656" w:rsidRPr="006462EC">
        <w:rPr>
          <w:noProof/>
        </w:rPr>
        <w:t>(2016)</w:t>
      </w:r>
      <w:r w:rsidR="004D5656" w:rsidRPr="006462EC">
        <w:fldChar w:fldCharType="end"/>
      </w:r>
      <w:r w:rsidR="004D5656" w:rsidRPr="006462EC">
        <w:t xml:space="preserve"> found that very high </w:t>
      </w:r>
      <w:r>
        <w:t>and</w:t>
      </w:r>
      <w:r w:rsidRPr="006462EC">
        <w:t xml:space="preserve"> </w:t>
      </w:r>
      <w:r w:rsidR="004D5656" w:rsidRPr="006462EC">
        <w:t xml:space="preserve">very low CSR </w:t>
      </w:r>
      <w:r>
        <w:t>do</w:t>
      </w:r>
      <w:r w:rsidRPr="006462EC">
        <w:t xml:space="preserve"> </w:t>
      </w:r>
      <w:r w:rsidR="004D5656" w:rsidRPr="006462EC">
        <w:t xml:space="preserve">not improve investment efficiency, </w:t>
      </w:r>
      <w:r>
        <w:t>while</w:t>
      </w:r>
      <w:r w:rsidRPr="006462EC">
        <w:t xml:space="preserve"> </w:t>
      </w:r>
      <w:r w:rsidR="004D5656" w:rsidRPr="006462EC">
        <w:t xml:space="preserve">Auer and Schuhmacher </w:t>
      </w:r>
      <w:r w:rsidR="004D5656" w:rsidRPr="006462EC">
        <w:fldChar w:fldCharType="begin" w:fldLock="1"/>
      </w:r>
      <w:r w:rsidR="004D5656" w:rsidRPr="006462EC">
        <w:instrText>ADDIN CSL_CITATION { "citationItems" : [ { "id" : "ITEM-1", "itemData" : { "DOI" : "10.1016/j.qref.2015.07.002", "ISSN" : "10629769", "abstract" : "Using a new dataset of environmental, social and corporate governance (ESG) company ratings and state-of-the-art statistical methodology, this article analyses the performance of socially (ir)responsible investments in the Asia-Pacific region, the United States and Europe. By implementing a variety of portfolio screens on the industry level, our analysis provides the following insights. First, regardless of geographic region, industry or ESG criterion, active selection of high- or low-rated stocks does not provide superior risk-adjusted performance in comparison to passive stock market investments. Second, in the Asia-Pacific region and in the United States, investors concentrating on ethical utility derived from their portfolio choice can follow an ESG-based investment style and still obtain a performance similar to the broad market. However, depending on the industry focus and the ESG criterion that is used, investors in Europe tend to pay a price for socially responsible investing. Third, our results are robust along several dimensions, such as the employed portfolio cut-off rate, the time frame or the consideration of transaction costs.", "author" : [ { "dropping-particle" : "", "family" : "Auer", "given" : "Benjamin R.", "non-dropping-particle" : "", "parse-names" : false, "suffix" : "" }, { "dropping-particle" : "", "family" : "Schuhmacher", "given" : "Frank", "non-dropping-particle" : "", "parse-names" : false, "suffix" : "" } ], "container-title" : "Quarterly Review of Economics and Finance", "id" : "ITEM-1", "issued" : { "date-parts" : [ [ "2016" ] ] }, "page" : "51-62", "publisher" : "Board of Trustees of the University of Illinois", "title" : "Do socially (ir)responsible investments pay? New evidence from international ESG data", "type" : "article-journal", "volume" : "59" }, "suppress-author" : 1, "uris" : [ "http://www.mendeley.com/documents/?uuid=00351a4d-6aff-4989-b687-f2fe6aacb005" ] } ], "mendeley" : { "formattedCitation" : "(2016)", "plainTextFormattedCitation" : "(2016)", "previouslyFormattedCitation" : "(2016)" }, "properties" : {  }, "schema" : "https://github.com/citation-style-language/schema/raw/master/csl-citation.json" }</w:instrText>
      </w:r>
      <w:r w:rsidR="004D5656" w:rsidRPr="006462EC">
        <w:fldChar w:fldCharType="separate"/>
      </w:r>
      <w:r w:rsidR="004D5656" w:rsidRPr="006462EC">
        <w:rPr>
          <w:noProof/>
        </w:rPr>
        <w:t>(2016)</w:t>
      </w:r>
      <w:r w:rsidR="004D5656" w:rsidRPr="006462EC">
        <w:fldChar w:fldCharType="end"/>
      </w:r>
      <w:r w:rsidR="004D5656" w:rsidRPr="006462EC">
        <w:t xml:space="preserve"> who found no differences between SRI focused investments and market-based passive investment returns in the USA or Asia-Pacific</w:t>
      </w:r>
      <w:r w:rsidR="001A25AC" w:rsidRPr="006462EC">
        <w:t xml:space="preserve">. </w:t>
      </w:r>
      <w:r w:rsidR="004D5656" w:rsidRPr="006462EC">
        <w:t xml:space="preserve">Relatedly, there is evidence that firms with high levels of CSR face lower costs of capital </w:t>
      </w:r>
      <w:r w:rsidR="004D5656" w:rsidRPr="006462EC">
        <w:fldChar w:fldCharType="begin" w:fldLock="1"/>
      </w:r>
      <w:r w:rsidR="004E427E">
        <w:instrText>ADDIN CSL_CITATION { "citationItems" : [ { "id" : "ITEM-1", "itemData" : { "DOI" : "10.1016/j.jbankfin.2011.02.007", "ISBN" : "0378-4266", "ISSN" : "03784266", "abstract" : "We examine the effect of corporate social responsibility (CSR) on the cost of equity capital for a large sample of US firms. Using several approaches to estimate firms' ex ante cost of equity, we find that firms with better CSR scores exhibit cheaper equity financing. In particular, our findings suggest that investment in improving responsible employee relations, environmental policies, and product strategies contributes substantially to reducing firms' cost of equity. Our results also show that participation in two \" sin\" industries, namely, tobacco and nuclear power, increases firms' cost of equity. These findings support arguments in the literature that firms with socially responsible practices have higher valuation and lower risk. \u00a9 2011.", "author" : [ { "dropping-particle" : "", "family" : "Ghoul", "given" : "Sadok", "non-dropping-particle" : "El", "parse-names" : false, "suffix" : "" }, { "dropping-particle" : "", "family" : "Guedhami", "given" : "Omrane", "non-dropping-particle" : "", "parse-names" : false, "suffix" : "" }, { "dropping-particle" : "", "family" : "Kwok", "given" : "Chuck C.Y.", "non-dropping-particle" : "", "parse-names" : false, "suffix" : "" }, { "dropping-particle" : "", "family" : "Mishra", "given" : "Dev R.", "non-dropping-particle" : "", "parse-names" : false, "suffix" : "" } ], "container-title" : "Journal of Banking and Finance", "id" : "ITEM-1", "issue" : "9", "issued" : { "date-parts" : [ [ "2011" ] ] }, "page" : "2388-2406", "publisher" : "Elsevier B.V.", "title" : "Does corporate social responsibility affect the cost of capital?", "type" : "article-journal", "volume" : "35" }, "uris" : [ "http://www.mendeley.com/documents/?uuid=3161bffe-8bb4-4870-81bc-ac8d6bc3b92c" ] } ], "mendeley" : { "formattedCitation" : "(El Ghoul et al. 2011)", "plainTextFormattedCitation" : "(El Ghoul et al. 2011)", "previouslyFormattedCitation" : "(El Ghoul, Guedhami, Kwok, &amp; Mishra, 2011)" }, "properties" : {  }, "schema" : "https://github.com/citation-style-language/schema/raw/master/csl-citation.json" }</w:instrText>
      </w:r>
      <w:r w:rsidR="004D5656" w:rsidRPr="006462EC">
        <w:fldChar w:fldCharType="separate"/>
      </w:r>
      <w:r w:rsidR="004E427E" w:rsidRPr="004E427E">
        <w:rPr>
          <w:noProof/>
        </w:rPr>
        <w:t>(El Ghoul et al. 2011)</w:t>
      </w:r>
      <w:r w:rsidR="004D5656" w:rsidRPr="006462EC">
        <w:fldChar w:fldCharType="end"/>
      </w:r>
      <w:r w:rsidR="004E427E">
        <w:t>. Overall</w:t>
      </w:r>
      <w:r>
        <w:t xml:space="preserve"> however</w:t>
      </w:r>
      <w:r w:rsidR="004E427E">
        <w:t>,</w:t>
      </w:r>
      <w:r w:rsidR="004D5656" w:rsidRPr="006462EC">
        <w:t xml:space="preserve"> the evidence of market outperformance for high CSR firms is mixed </w:t>
      </w:r>
      <w:r w:rsidR="004D5656" w:rsidRPr="006462EC">
        <w:fldChar w:fldCharType="begin" w:fldLock="1"/>
      </w:r>
      <w:r w:rsidR="004E427E">
        <w:instrText>ADDIN CSL_CITATION { "citationItems" : [ { "id" : "ITEM-1", "itemData" : { "DOI" : "10.1016/j.ecolecon.2018.01.014", "ISSN" : "09218009", "author" : [ { "dropping-particle" : "", "family" : "Blasi", "given" : "Silvia", "non-dropping-particle" : "", "parse-names" : false, "suffix" : "" }, { "dropping-particle" : "", "family" : "Caporin", "given" : "Massimiliano", "non-dropping-particle" : "", "parse-names" : false, "suffix" : "" }, { "dropping-particle" : "", "family" : "Fontini", "given" : "Fulvio", "non-dropping-particle" : "", "parse-names" : false, "suffix" : "" } ], "container-title" : "Ecological Economics", "id" : "ITEM-1", "issue" : "October 2017", "issued" : { "date-parts" : [ [ "2018" ] ] }, "page" : "218-229", "publisher" : "Elsevier", "title" : "A Multidimensional Analysis of the Relationship Between Corporate Social Responsibility and Firms' Economic Performance", "type" : "article-journal", "volume" : "147" }, "uris" : [ "http://www.mendeley.com/documents/?uuid=9d5b837f-a7cb-4dde-ac00-28b5e17824a0" ] } ], "mendeley" : { "formattedCitation" : "(Blasi, Caporin, and Fontini 2018)", "plainTextFormattedCitation" : "(Blasi, Caporin, and Fontini 2018)", "previouslyFormattedCitation" : "(Blasi et al., 2018)" }, "properties" : {  }, "schema" : "https://github.com/citation-style-language/schema/raw/master/csl-citation.json" }</w:instrText>
      </w:r>
      <w:r w:rsidR="004D5656" w:rsidRPr="006462EC">
        <w:fldChar w:fldCharType="separate"/>
      </w:r>
      <w:r w:rsidR="004E427E" w:rsidRPr="004E427E">
        <w:rPr>
          <w:noProof/>
        </w:rPr>
        <w:t>(Blasi, Caporin, and Fontini 2018)</w:t>
      </w:r>
      <w:r w:rsidR="004D5656" w:rsidRPr="006462EC">
        <w:fldChar w:fldCharType="end"/>
      </w:r>
      <w:r w:rsidR="004D5656" w:rsidRPr="006462EC">
        <w:t>.</w:t>
      </w:r>
    </w:p>
    <w:p w:rsidR="004D5656" w:rsidRPr="006462EC" w:rsidRDefault="004D5656" w:rsidP="0012285D">
      <w:pPr>
        <w:pStyle w:val="Heading4"/>
        <w:spacing w:line="480" w:lineRule="auto"/>
        <w:rPr>
          <w:sz w:val="20"/>
        </w:rPr>
      </w:pPr>
      <w:r w:rsidRPr="006462EC">
        <w:rPr>
          <w:sz w:val="20"/>
        </w:rPr>
        <w:t>Research Questions</w:t>
      </w:r>
    </w:p>
    <w:p w:rsidR="004D5656" w:rsidRPr="006462EC" w:rsidRDefault="005B4F3A" w:rsidP="0012285D">
      <w:pPr>
        <w:pStyle w:val="ListParagraph"/>
        <w:numPr>
          <w:ilvl w:val="0"/>
          <w:numId w:val="3"/>
        </w:numPr>
        <w:spacing w:line="480" w:lineRule="auto"/>
      </w:pPr>
      <w:r w:rsidRPr="006462EC">
        <w:t xml:space="preserve">Do pro-environmental behaviors influence both firms’ cost of capital and investor returns, </w:t>
      </w:r>
      <w:r w:rsidR="001A25AC" w:rsidRPr="006462EC">
        <w:t>and are they interrelated?</w:t>
      </w:r>
    </w:p>
    <w:p w:rsidR="005B4F3A" w:rsidRPr="006462EC" w:rsidRDefault="005B4F3A" w:rsidP="0012285D">
      <w:pPr>
        <w:pStyle w:val="ListParagraph"/>
        <w:numPr>
          <w:ilvl w:val="0"/>
          <w:numId w:val="3"/>
        </w:numPr>
        <w:spacing w:line="480" w:lineRule="auto"/>
      </w:pPr>
      <w:r w:rsidRPr="006462EC">
        <w:t>Does having higher environmental CSR have a positive effect on earnings surprises, regardless of whether the earnings surprises are positive or negative</w:t>
      </w:r>
      <w:r w:rsidR="001A25AC" w:rsidRPr="006462EC">
        <w:t>?</w:t>
      </w:r>
    </w:p>
    <w:p w:rsidR="005B4F3A" w:rsidRPr="006462EC" w:rsidRDefault="005B4F3A" w:rsidP="0012285D">
      <w:pPr>
        <w:pStyle w:val="Heading3"/>
        <w:numPr>
          <w:ilvl w:val="1"/>
          <w:numId w:val="3"/>
        </w:numPr>
        <w:tabs>
          <w:tab w:val="left" w:pos="360"/>
        </w:tabs>
        <w:spacing w:line="480" w:lineRule="auto"/>
        <w:ind w:left="990" w:hanging="990"/>
        <w:rPr>
          <w:sz w:val="22"/>
        </w:rPr>
      </w:pPr>
      <w:r w:rsidRPr="006462EC">
        <w:rPr>
          <w:sz w:val="22"/>
        </w:rPr>
        <w:lastRenderedPageBreak/>
        <w:t>Data and Methods</w:t>
      </w:r>
    </w:p>
    <w:p w:rsidR="0012285D" w:rsidRPr="008F0B91" w:rsidRDefault="00BE00F0" w:rsidP="0012285D">
      <w:pPr>
        <w:spacing w:line="480" w:lineRule="auto"/>
        <w:ind w:firstLine="720"/>
      </w:pPr>
      <w:r w:rsidRPr="006462EC">
        <w:t xml:space="preserve">I propose to </w:t>
      </w:r>
      <w:r>
        <w:t xml:space="preserve">partially </w:t>
      </w:r>
      <w:r w:rsidRPr="006462EC">
        <w:t>model</w:t>
      </w:r>
      <w:r>
        <w:t xml:space="preserve"> the relationship between high environmental CSR and above-average returns </w:t>
      </w:r>
      <w:r w:rsidRPr="006462EC">
        <w:t>using an optimization framework based upon work on pro-social behavior (Benabou &amp; Tirole 2006)</w:t>
      </w:r>
      <w:r>
        <w:t>,</w:t>
      </w:r>
      <w:r w:rsidRPr="006462EC">
        <w:t xml:space="preserve"> where investors trade market returns for non-monetary utility. </w:t>
      </w:r>
      <w:r>
        <w:t>My data consists of</w:t>
      </w:r>
      <w:r w:rsidR="005B4F3A" w:rsidRPr="008F0B91">
        <w:t xml:space="preserve"> stock and </w:t>
      </w:r>
      <w:r w:rsidR="009150CA">
        <w:t>CSR</w:t>
      </w:r>
      <w:r w:rsidR="005B4F3A" w:rsidRPr="008F0B91">
        <w:t xml:space="preserve"> data from Thomson Reuters Eikon (TR), which has detailed, professional grade information on thousands of stocks from all regions of the world.</w:t>
      </w:r>
      <w:r>
        <w:t xml:space="preserve"> </w:t>
      </w:r>
      <w:r w:rsidR="008F0B91">
        <w:t>Using this panel dataset, m</w:t>
      </w:r>
      <w:r w:rsidR="0012285D" w:rsidRPr="008F0B91">
        <w:t>y aim is to estimate:</w:t>
      </w:r>
    </w:p>
    <w:p w:rsidR="0012285D" w:rsidRPr="006462EC" w:rsidRDefault="00FA221B" w:rsidP="0012285D">
      <w:pPr>
        <w:spacing w:line="480" w:lineRule="auto"/>
        <w:ind w:left="72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r>
                    <m:rPr>
                      <m:sty m:val="bi"/>
                    </m:rP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Env</m:t>
                  </m:r>
                </m:e>
                <m:sub>
                  <m:r>
                    <w:rPr>
                      <w:rFonts w:ascii="Cambria Math" w:eastAsiaTheme="minorEastAsia" w:hAnsi="Cambria Math"/>
                    </w:rPr>
                    <m:t>it</m:t>
                  </m:r>
                </m:sub>
              </m:sSub>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3-n</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e>
                  </m:acc>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2.1</m:t>
                  </m:r>
                </m:e>
              </m:d>
              <m:ctrlPr>
                <w:rPr>
                  <w:rFonts w:ascii="Cambria Math" w:hAnsi="Cambria Math"/>
                  <w:i/>
                </w:rPr>
              </m:ctrlPr>
            </m:e>
          </m:eqArr>
        </m:oMath>
      </m:oMathPara>
    </w:p>
    <w:p w:rsidR="005B4F3A" w:rsidRPr="006462EC" w:rsidRDefault="0012285D" w:rsidP="0012285D">
      <w:pPr>
        <w:spacing w:line="480" w:lineRule="auto"/>
        <w:ind w:firstLine="720"/>
      </w:pPr>
      <w:r w:rsidRPr="006462EC">
        <w:rPr>
          <w:rFonts w:eastAsiaTheme="minor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oMath>
      <w:r w:rsidRPr="006462EC">
        <w:rPr>
          <w:rFonts w:eastAsiaTheme="minorEastAsia"/>
        </w:rPr>
        <w:t xml:space="preserve"> is the firm’s return on investment adjusted for market rates of return; </w:t>
      </w:r>
      <w:r w:rsidRPr="00B03B37">
        <w:rPr>
          <w:rFonts w:eastAsiaTheme="minorEastAsia"/>
          <w:i/>
        </w:rPr>
        <w:t>ENV</w:t>
      </w:r>
      <w:r w:rsidRPr="006462EC">
        <w:rPr>
          <w:rFonts w:eastAsiaTheme="minorEastAsia"/>
        </w:rPr>
        <w:t xml:space="preserve"> is </w:t>
      </w:r>
      <w:r w:rsidR="004E427E">
        <w:rPr>
          <w:rFonts w:eastAsiaTheme="minorEastAsia"/>
        </w:rPr>
        <w:t xml:space="preserve">one of </w:t>
      </w:r>
      <w:r w:rsidRPr="006462EC">
        <w:rPr>
          <w:rFonts w:eastAsiaTheme="minorEastAsia"/>
        </w:rPr>
        <w:t>the measure</w:t>
      </w:r>
      <w:r w:rsidR="004E427E">
        <w:rPr>
          <w:rFonts w:eastAsiaTheme="minorEastAsia"/>
        </w:rPr>
        <w:t>s</w:t>
      </w:r>
      <w:r w:rsidRPr="006462EC">
        <w:rPr>
          <w:rFonts w:eastAsiaTheme="minorEastAsia"/>
        </w:rPr>
        <w:t xml:space="preserve"> of environmental CSR</w:t>
      </w:r>
      <w:r w:rsidR="004E427E">
        <w:rPr>
          <w:rFonts w:eastAsiaTheme="minorEastAsia"/>
        </w:rPr>
        <w:t xml:space="preserve"> as calculated by Thomson Reuters</w:t>
      </w:r>
      <w:r w:rsidRPr="006462EC">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X</m:t>
            </m:r>
          </m:e>
        </m:acc>
      </m:oMath>
      <w:r w:rsidRPr="006462EC">
        <w:rPr>
          <w:rFonts w:eastAsiaTheme="minorEastAsia"/>
        </w:rPr>
        <w:t xml:space="preserve"> represents a vector of control variables. To help control for omitted variable bias, control variables will include firm indicators of size, book value of assets, cash flow </w:t>
      </w:r>
      <w:r w:rsidR="00BE2582">
        <w:rPr>
          <w:rFonts w:eastAsiaTheme="minorEastAsia"/>
        </w:rPr>
        <w:t>sensitivity, plus firm age</w:t>
      </w:r>
      <w:r w:rsidRPr="006462EC">
        <w:rPr>
          <w:rFonts w:eastAsiaTheme="minorEastAsia"/>
        </w:rPr>
        <w:t>,</w:t>
      </w:r>
      <w:r w:rsidR="00BE2582">
        <w:rPr>
          <w:rFonts w:eastAsiaTheme="minorEastAsia"/>
        </w:rPr>
        <w:t xml:space="preserve"> volatility, profitability and net leverage. </w:t>
      </w:r>
      <w:r w:rsidRPr="006462EC">
        <w:rPr>
          <w:rFonts w:eastAsiaTheme="minorEastAsia"/>
        </w:rPr>
        <w:t>I will also include year and industry dummies.</w:t>
      </w:r>
    </w:p>
    <w:p w:rsidR="00473088" w:rsidRPr="006462EC" w:rsidRDefault="00473088" w:rsidP="003157C8">
      <w:pPr>
        <w:pStyle w:val="Heading3"/>
        <w:numPr>
          <w:ilvl w:val="1"/>
          <w:numId w:val="3"/>
        </w:numPr>
        <w:spacing w:line="480" w:lineRule="auto"/>
        <w:ind w:left="630"/>
        <w:rPr>
          <w:sz w:val="22"/>
        </w:rPr>
      </w:pPr>
      <w:r w:rsidRPr="006462EC">
        <w:rPr>
          <w:sz w:val="22"/>
        </w:rPr>
        <w:t>Implications</w:t>
      </w:r>
    </w:p>
    <w:p w:rsidR="00473088" w:rsidRPr="006462EC" w:rsidRDefault="00473088" w:rsidP="0012285D">
      <w:pPr>
        <w:spacing w:line="480" w:lineRule="auto"/>
        <w:ind w:firstLine="720"/>
      </w:pPr>
      <w:r w:rsidRPr="006462EC">
        <w:t xml:space="preserve">This paper </w:t>
      </w:r>
      <w:r w:rsidR="008F0B91">
        <w:t>adds to the current literature</w:t>
      </w:r>
      <w:r w:rsidRPr="006462EC">
        <w:t xml:space="preserve"> by arguing that performance is likely time specific</w:t>
      </w:r>
      <w:r w:rsidR="0062479D">
        <w:t>,</w:t>
      </w:r>
      <w:r w:rsidRPr="006462EC">
        <w:t xml:space="preserve"> </w:t>
      </w:r>
      <w:r w:rsidR="004F645E">
        <w:t>due to</w:t>
      </w:r>
      <w:r w:rsidRPr="006462EC">
        <w:t xml:space="preserve"> short-term changes in non-monetary green utility. </w:t>
      </w:r>
      <w:r w:rsidR="004E427E">
        <w:t xml:space="preserve">The paper also adds to the literature by considering constituent parts of environmental CSR other papers have not, but are included in the TR data. These include green innovation and resource use. </w:t>
      </w:r>
      <w:r w:rsidR="0012285D" w:rsidRPr="006462EC">
        <w:t>The empirical method</w:t>
      </w:r>
      <w:r w:rsidR="008F0B91">
        <w:t xml:space="preserve"> used in this chapter</w:t>
      </w:r>
      <w:r w:rsidR="0012285D" w:rsidRPr="006462EC">
        <w:t xml:space="preserve"> co</w:t>
      </w:r>
      <w:r w:rsidR="006462EC" w:rsidRPr="006462EC">
        <w:t>ncentrates on within-firm variation of green CSR, providing a more robust analysis than the between-firm analysis undertaken by other, recent literature in the field.</w:t>
      </w:r>
      <w:r w:rsidR="004E427E">
        <w:t xml:space="preserve"> Limitations include the risk that TR scores are not representative of investor behaviors, or that firms who have high scores for CSR have other characteristics not captured in the model but are correlated with market outperformance.</w:t>
      </w:r>
    </w:p>
    <w:p w:rsidR="00473088" w:rsidRPr="006462EC" w:rsidRDefault="00473088" w:rsidP="0012285D">
      <w:pPr>
        <w:pStyle w:val="Heading2"/>
        <w:spacing w:line="480" w:lineRule="auto"/>
        <w:rPr>
          <w:sz w:val="24"/>
        </w:rPr>
      </w:pPr>
      <w:r w:rsidRPr="006462EC">
        <w:rPr>
          <w:sz w:val="24"/>
        </w:rPr>
        <w:lastRenderedPageBreak/>
        <w:t xml:space="preserve">Chapter 3 </w:t>
      </w:r>
      <w:r w:rsidR="00EC5D26" w:rsidRPr="006462EC">
        <w:rPr>
          <w:sz w:val="24"/>
        </w:rPr>
        <w:t>–</w:t>
      </w:r>
      <w:r w:rsidRPr="006462EC">
        <w:rPr>
          <w:sz w:val="24"/>
        </w:rPr>
        <w:t xml:space="preserve"> </w:t>
      </w:r>
      <w:r w:rsidR="00EC5D26" w:rsidRPr="006462EC">
        <w:rPr>
          <w:sz w:val="24"/>
        </w:rPr>
        <w:t>Sustainable Public Administration</w:t>
      </w:r>
    </w:p>
    <w:p w:rsidR="00AD5F50" w:rsidRPr="006462EC" w:rsidRDefault="006462EC" w:rsidP="0012285D">
      <w:pPr>
        <w:spacing w:line="480" w:lineRule="auto"/>
      </w:pPr>
      <w:r>
        <w:t>This chapter studies the role sustainability may play in the future evolution of Public Administration</w:t>
      </w:r>
      <w:r w:rsidR="00BE00F0">
        <w:t>, and whether current Public Administration coursework prepares its scholars for this future role</w:t>
      </w:r>
      <w:r>
        <w:t>.</w:t>
      </w:r>
    </w:p>
    <w:p w:rsidR="00AD5F50" w:rsidRDefault="00AD5F50" w:rsidP="005217E5">
      <w:pPr>
        <w:pStyle w:val="Heading3"/>
        <w:numPr>
          <w:ilvl w:val="1"/>
          <w:numId w:val="2"/>
        </w:numPr>
        <w:spacing w:line="480" w:lineRule="auto"/>
        <w:rPr>
          <w:sz w:val="22"/>
        </w:rPr>
      </w:pPr>
      <w:r w:rsidRPr="006462EC">
        <w:rPr>
          <w:sz w:val="22"/>
        </w:rPr>
        <w:t xml:space="preserve">Background and </w:t>
      </w:r>
      <w:r w:rsidR="005217E5">
        <w:rPr>
          <w:sz w:val="22"/>
        </w:rPr>
        <w:t>Framing</w:t>
      </w:r>
    </w:p>
    <w:p w:rsidR="005217E5" w:rsidRDefault="00B52195" w:rsidP="005217E5">
      <w:pPr>
        <w:spacing w:line="480" w:lineRule="auto"/>
        <w:ind w:firstLine="360"/>
      </w:pPr>
      <w:r>
        <w:t>This chapter investigates whether</w:t>
      </w:r>
      <w:r w:rsidR="005217E5">
        <w:t xml:space="preserve"> sustainability has the potential to move beyond environmental policy as a policy silo</w:t>
      </w:r>
      <w:r w:rsidR="00BE00F0">
        <w:t>,</w:t>
      </w:r>
      <w:r w:rsidR="005217E5">
        <w:t xml:space="preserve"> </w:t>
      </w:r>
      <w:r w:rsidR="00BE2582">
        <w:t xml:space="preserve">to </w:t>
      </w:r>
      <w:r w:rsidR="005217E5">
        <w:t>affect</w:t>
      </w:r>
      <w:r w:rsidR="00BE2582">
        <w:t>ing</w:t>
      </w:r>
      <w:r w:rsidR="005217E5">
        <w:t xml:space="preserve"> all levels of public administration action, study, and assessment. This could occur through top-down policy and governance changes similar to </w:t>
      </w:r>
      <w:r w:rsidR="00BE2582">
        <w:t>how</w:t>
      </w:r>
      <w:r w:rsidR="005217E5">
        <w:t xml:space="preserve"> public administration as a field </w:t>
      </w:r>
      <w:r w:rsidR="00BE2582">
        <w:t xml:space="preserve">has been affected </w:t>
      </w:r>
      <w:r w:rsidR="005217E5">
        <w:t xml:space="preserve">in the past </w:t>
      </w:r>
      <w:r w:rsidR="0090539C">
        <w:fldChar w:fldCharType="begin" w:fldLock="1"/>
      </w:r>
      <w:r w:rsidR="004E427E">
        <w:instrText>ADDIN CSL_CITATION { "citationItems" : [ { "id" : "ITEM-1", "itemData" : { "DOI" : "10.1111/j.1540-6210.2006.00551.x", "ISBN" : "0033-3352", "ISSN" : "00333352", "PMID" : "3054066", "abstract" : "The past six decades have witnessed acceleration in both the number and variety of major administrative reform statutes enacted by Congress. This increase can be explained partly by the increased involvement of Congress, a parallel decrease in activity and resistance by the presidency, and heightened public distrust toward government. At least part of the variation in the tides or philosophies of reform involves a \u201cfield of dreams\u201d effect in which the creation of new governmental structure during the 1940s, 1950s, and 1960s generated increased interest in process reforms. However, part of the acceleration and variety of reform appears to be related to the lack of hard evidence of what actually works in improving government performance. Measured by federal employees\u2019 perceptions of organizational performance, what matters most is not whether organizations were reformed in the past, but whether organizations need reform in the future and can provide essential resources for achieving their mission.", "author" : [ { "dropping-particle" : "", "family" : "Light", "given" : "Paul C.", "non-dropping-particle" : "", "parse-names" : false, "suffix" : "" } ], "container-title" : "Public Administration Review", "id" : "ITEM-1", "issue" : "1", "issued" : { "date-parts" : [ [ "2006" ] ] }, "page" : "6-19", "title" : "The tides of reform revisited: Patterns in making government work, 1945-2002", "type" : "article-journal", "volume" : "66" }, "uris" : [ "http://www.mendeley.com/documents/?uuid=5d4cfda5-97ce-4167-b6e9-aeb5d9edc574" ] }, { "id" : "ITEM-2", "itemData" : { "abstract" : "This article distinguishes the competing interprestations of the politics-administration dichotomy, noting that as, originally framed, it was intended to detach partisan politics and patronage from sound public management. Waldo, the author suggests, concerned himself with the later, more expansive conception of the dichotomy, which included the process of policy making.", "author" : [ { "dropping-particle" : "", "family" : "Rosenbloom", "given" : "David", "non-dropping-particle" : "", "parse-names" : false, "suffix" : "" } ], "container-title" : "Public Adinistration Review", "id" : "ITEM-2", "issue" : "1", "issued" : { "date-parts" : [ [ "2008" ] ] }, "page" : "57-60", "title" : "The Politics-Administration Dichotomy in U. S. Historical Context", "type" : "article-journal", "volume" : "68" }, "uris" : [ "http://www.mendeley.com/documents/?uuid=18c24f1b-a4ed-4a8c-8164-3bcb748e5113" ] }, { "id" : "ITEM-3", "itemData" : { "DOI" : "Article", "ISBN" : "00333352; 15406210", "ISSN" : "00333352", "abstract" : "If its academic admirers can avoid the trap of becoming a cult of programmed believers, the New Public Management (NPM) can have three constructive legacies for the field of public administration: (1) a stronger emphasis on performance-motivated administration and inclusion in the administrative canon of performance-oriented institutional arrangements, structural forms, and managerial doctrines fitted to particular contexts, in other words, advances in the state of the public management art; (2) an international dialogue on and a stronger comparative dimension to the study of state design and administrative reform; and (3) the integrated use of economic, sociological, social-psychological, and other advanced conceptual models and heuristics in the study of public institutions and management, with the potential to strengthen the field's scholarship and the possibilities for theory-grounded practice. While discussing each of these legacies, this article concentrates on the third and most controversial. The kinds of conceptual thinking that can strengthen the intellectual foundations of the field are illustrated by comparing the logic of management within the framework of competitive markets, a logic which has inspired many of New Public Management's reforms, with the logic of management within the framework of constitutional governance. While substantively different, these two styles of inquiry are surprisingly similar in their interdisciplinary use of theory to create subtle and sophisticated models of structure and strategy, with important implications for the study of bureaucracy and public management.", "author" : [ { "dropping-particle" : "", "family" : "Lynn", "given" : "Laurence E. Jr.", "non-dropping-particle" : "", "parse-names" : false, "suffix" : "" } ], "container-title" : "Public administration review", "id" : "ITEM-3", "issue" : "3", "issued" : { "date-parts" : [ [ "1998" ] ] }, "page" : "231", "title" : "The New Public Management: How to Transform a Theme into a Legacy", "type" : "article-journal", "volume" : "58" }, "uris" : [ "http://www.mendeley.com/documents/?uuid=68cc9565-3079-4718-be16-ea30133f7b3e" ] } ], "mendeley" : { "formattedCitation" : "(Light 2006; Lynn 1998; Rosenbloom 2008)", "plainTextFormattedCitation" : "(Light 2006; Lynn 1998; Rosenbloom 2008)", "previouslyFormattedCitation" : "(Light, 2006; Lynn, 1998; Rosenbloom, 2008)" }, "properties" : {  }, "schema" : "https://github.com/citation-style-language/schema/raw/master/csl-citation.json" }</w:instrText>
      </w:r>
      <w:r w:rsidR="0090539C">
        <w:fldChar w:fldCharType="separate"/>
      </w:r>
      <w:r w:rsidR="004E427E" w:rsidRPr="004E427E">
        <w:rPr>
          <w:noProof/>
        </w:rPr>
        <w:t>(Light 2006; Lynn 1998; Rosenbloom 2008)</w:t>
      </w:r>
      <w:r w:rsidR="0090539C">
        <w:fldChar w:fldCharType="end"/>
      </w:r>
      <w:r>
        <w:t>,</w:t>
      </w:r>
      <w:r w:rsidR="0090539C">
        <w:t xml:space="preserve"> or through societal change drive</w:t>
      </w:r>
      <w:r>
        <w:t xml:space="preserve">n by changing </w:t>
      </w:r>
      <w:r w:rsidR="0090539C">
        <w:t xml:space="preserve">preferences </w:t>
      </w:r>
      <w:r>
        <w:t xml:space="preserve">for sustainability reform </w:t>
      </w:r>
      <w:r w:rsidR="0090539C">
        <w:fldChar w:fldCharType="begin" w:fldLock="1"/>
      </w:r>
      <w:r w:rsidR="004E427E">
        <w:instrText>ADDIN CSL_CITATION { "citationItems" : [ { "id" : "ITEM-1", "itemData" : { "DOI" : "10.1177/1075547008329201", "ISSN" : "1075-5470", "abstract" : "Fear-inducing representations of climate change are widely employed in the public domain. However, there is a lack of clarity in the literature about the impacts that fearful messages in climate change communications have on people's senses of engagement with the issue and associated implications for public engagement strategies. Some literature suggests that using fearful representations of climate change may be counterproductive. The authors explore this assertion in the context of two empirical studies that investigated the role of visual, and iconic, representations of climate change for public engagement respectively. Results demonstrate that although such representations have much potential for attracting people's attention to climate change, fear is generally an ineffective tool for motivating genuine personal engagement. Nonthreatening imagery and icons that link to individuals' everyday emotions and concerns in the context of this macro-environmental issue tend to be the most engaging. Recommendations for constructively engaging individuals with climate change are given.", "author" : [ { "dropping-particle" : "", "family" : "O'Neill", "given" : "Saffron", "non-dropping-particle" : "", "parse-names" : false, "suffix" : "" }, { "dropping-particle" : "", "family" : "Nicholson-Cole", "given" : "Sophie", "non-dropping-particle" : "", "parse-names" : false, "suffix" : "" } ], "container-title" : "Science Communication", "id" : "ITEM-1", "issue" : "3", "issued" : { "date-parts" : [ [ "2009", "1", "7" ] ] }, "note" : "doi: 10.1177/1075547008329201", "page" : "355-379", "publisher" : "SAGE Publications Inc", "title" : "\u201cFear Won't Do It\u201d: Promoting Positive Engagement With Climate Change Through Visual and Iconic Representations", "type" : "article-journal", "volume" : "30" }, "uris" : [ "http://www.mendeley.com/documents/?uuid=1295af26-cff9-451c-8f92-bd8c59723869" ] }, { "id" : "ITEM-2", "itemData" : { "DOI" : "10.1111/j.0361-3666.2004.00241.x", "ISBN" : "0361-3666", "ISSN" : "03613666", "PMID" : "15016104", "abstract" : "Nine years after the Kobe earthquake in Japan, social issues are still prominent, and the rehabilitation process is still ongoing. The earthquake caused two major changes in Japanese society: an increase in voluntary and non-government activities, and the enhancement of cooperation between local government and the residents' association. People's participation in the decision-making process was a significant achievement. To sustain the efforts generated after the earthquake, the Kobe Action Plan was formulated and tested in different disaster scenarios. The current study suggests that civil societies in urban areas are sustainable if, first, the activities related to daily services are provided by the resident's associations; and second, these are linked to economic incentives. Leadership plays a crucial role in collective decision-making. Creation of the support system is essential for long-term sustainability of civil-society activities. These observations are exemplified in the case study in Nishi Suma, one of the worst-affected areas in the Kobe city.", "author" : [ { "dropping-particle" : "", "family" : "Shaw", "given" : "Rajib", "non-dropping-particle" : "", "parse-names" : false, "suffix" : "" }, { "dropping-particle" : "", "family" : "Goda", "given" : "Katsuihciro", "non-dropping-particle" : "", "parse-names" : false, "suffix" : "" } ], "container-title" : "Disasters", "id" : "ITEM-2", "issue" : "1", "issued" : { "date-parts" : [ [ "2004" ] ] }, "page" : "16-40", "title" : "From disaster to sustainable civil society: The Kobe experience", "type" : "article-journal", "volume" : "28" }, "uris" : [ "http://www.mendeley.com/documents/?uuid=7c8a8de4-e19c-454b-b995-5a8ff5988e1f" ] }, { "id" : "ITEM-3", "itemData" : { "DOI" : "doi:10.1111/j.1539-6924.2005.00694.x", "ISSN" : "0272-4332", "abstract" : "In an analysis of the French episode of heat wave in 2003, this article highlights how heat wave dangers result from the intricate association of natural and social factors. Unusually high temperatures, as well as socioeconomic vulnerability, along with social attenuation of hazards, in a general context where the anthropogenic contribution to climate change is becoming more plausible, led to an excess of 14,947 deaths in France, between August 4 and 18, 2003. The greatest increase in mortality was due to causes directly attributable to heat: dehydration, hyperthermia, heat stroke. In addition to age and gender, combinatorial factors included preexisting disease, medication, urban residence, isolation, poverty, and, probably, air pollution. Although diversely impacted or reported, many parts of Europe suffered human and other losses, such as farming and forestry through drought and fires. Summer 2003 was the hottest in Europe since 1500, very likely due in part to anthropogenic climate change. The French experience confirms research establishing that heat waves are a major mortal risk, number one among so?called natural hazards in postindustrial societies. Yet France had no policy in place, as if dangerous climate were restricted to a distant or uncertain future of climate change, or to preindustrial countries. We analyze the heat wave's profile as a strongly attenuated risk in the French context, as well as the causes and the effects of its sudden shift into amplification. Research and preparedness needs are highlighted.", "author" : [ { "dropping-particle" : "", "family" : "Poumadere", "given" : "M", "non-dropping-particle" : "", "parse-names" : false, "suffix" : "" }, { "dropping-particle" : "", "family" : "Mays", "given" : "C", "non-dropping-particle" : "", "parse-names" : false, "suffix" : "" }, { "dropping-particle" : "", "family" : "Mer", "given" : "S", "non-dropping-particle" : "Le", "parse-names" : false, "suffix" : "" }, { "dropping-particle" : "", "family" : "Blong", "given" : "R", "non-dropping-particle" : "", "parse-names" : false, "suffix" : "" } ], "container-title" : "Risk Analysis", "id" : "ITEM-3", "issue" : "6", "issued" : { "date-parts" : [ [ "2005" ] ] }, "page" : "1483-1494", "title" : "The 2003 HeatWave in France: Dangerous Climate Change Here and Now", "type" : "article-journal", "volume" : "25" }, "uris" : [ "http://www.mendeley.com/documents/?uuid=4a791020-d3e6-4b63-a513-410bee14e77c" ] } ], "mendeley" : { "formattedCitation" : "(O\u2019Neill and Nicholson-Cole 2009; Poumadere et al. 2005; Shaw and Goda 2004)", "plainTextFormattedCitation" : "(O\u2019Neill and Nicholson-Cole 2009; Poumadere et al. 2005; Shaw and Goda 2004)", "previouslyFormattedCitation" : "(O\u2019Neill &amp; Nicholson-Cole, 2009; Poumadere, Mays, Le Mer, &amp; Blong, 2005; Shaw &amp; Goda, 2004)" }, "properties" : {  }, "schema" : "https://github.com/citation-style-language/schema/raw/master/csl-citation.json" }</w:instrText>
      </w:r>
      <w:r w:rsidR="0090539C">
        <w:fldChar w:fldCharType="separate"/>
      </w:r>
      <w:r w:rsidR="004E427E" w:rsidRPr="004E427E">
        <w:rPr>
          <w:noProof/>
        </w:rPr>
        <w:t>(O’Neill and Nicholson-Cole 2009; Poumadere et al. 2005; Shaw and Goda 2004)</w:t>
      </w:r>
      <w:r w:rsidR="0090539C">
        <w:fldChar w:fldCharType="end"/>
      </w:r>
      <w:r w:rsidR="0090539C">
        <w:t xml:space="preserve">. </w:t>
      </w:r>
      <w:r w:rsidR="005217E5">
        <w:t xml:space="preserve">I will critically analyze the status of sustainability within Public Administration as a field of </w:t>
      </w:r>
      <w:r w:rsidR="00BE00F0">
        <w:t>study and</w:t>
      </w:r>
      <w:r w:rsidR="005217E5">
        <w:t xml:space="preserve"> assess the field’s preparedness for dealing with emerging environmental issues. Ultimately, historical evidence suggests that public administration could be dramatically altered by any societal movement demanding high levels of sustainability. Furthermore, I will investigate whether public administration is prepared for any such change, including whether public administration and policy as fields of study are adequately preparing students to tackle complex policy issues within a sustainability framework. I will argue this last point by reviewing the current coursework covered by students of public administration.</w:t>
      </w:r>
    </w:p>
    <w:p w:rsidR="005722FE" w:rsidRPr="006462EC" w:rsidRDefault="005722FE" w:rsidP="0012285D">
      <w:pPr>
        <w:pStyle w:val="Heading4"/>
        <w:spacing w:line="480" w:lineRule="auto"/>
        <w:rPr>
          <w:sz w:val="20"/>
        </w:rPr>
      </w:pPr>
      <w:r w:rsidRPr="006462EC">
        <w:rPr>
          <w:sz w:val="20"/>
        </w:rPr>
        <w:t>Research Questions</w:t>
      </w:r>
    </w:p>
    <w:p w:rsidR="0012044F" w:rsidRPr="007A2EEB" w:rsidRDefault="006645A7" w:rsidP="00B52195">
      <w:pPr>
        <w:pStyle w:val="ListParagraph"/>
        <w:numPr>
          <w:ilvl w:val="0"/>
          <w:numId w:val="5"/>
        </w:numPr>
        <w:spacing w:line="480" w:lineRule="auto"/>
      </w:pPr>
      <w:r>
        <w:t>Is PA likely to be affected by a sustainability led transition, and is it ready for this transition?</w:t>
      </w:r>
    </w:p>
    <w:p w:rsidR="00B52195" w:rsidRPr="007A2EEB" w:rsidRDefault="006645A7" w:rsidP="00B52195">
      <w:pPr>
        <w:pStyle w:val="ListParagraph"/>
        <w:numPr>
          <w:ilvl w:val="0"/>
          <w:numId w:val="5"/>
        </w:numPr>
        <w:spacing w:line="480" w:lineRule="auto"/>
      </w:pPr>
      <w:r>
        <w:t>Is p</w:t>
      </w:r>
      <w:r w:rsidR="00DE2EDB">
        <w:t xml:space="preserve">olicy </w:t>
      </w:r>
      <w:r>
        <w:t xml:space="preserve">formulation, implementation and </w:t>
      </w:r>
      <w:r w:rsidR="00DE2EDB">
        <w:t>e</w:t>
      </w:r>
      <w:r w:rsidR="00B52195" w:rsidRPr="007A2EEB">
        <w:t>valuation different u</w:t>
      </w:r>
      <w:r>
        <w:t>nder sustainability assumptions?</w:t>
      </w:r>
    </w:p>
    <w:p w:rsidR="00B52195" w:rsidRPr="007A2EEB" w:rsidRDefault="006645A7" w:rsidP="00B52195">
      <w:pPr>
        <w:pStyle w:val="ListParagraph"/>
        <w:numPr>
          <w:ilvl w:val="0"/>
          <w:numId w:val="5"/>
        </w:numPr>
        <w:spacing w:line="480" w:lineRule="auto"/>
      </w:pPr>
      <w:r>
        <w:t>Doe training</w:t>
      </w:r>
      <w:r w:rsidR="00B52195" w:rsidRPr="007A2EEB">
        <w:t xml:space="preserve"> in PA </w:t>
      </w:r>
      <w:r>
        <w:t>have</w:t>
      </w:r>
      <w:r w:rsidR="00B52195" w:rsidRPr="007A2EEB">
        <w:t xml:space="preserve"> sufficient environmental perspective</w:t>
      </w:r>
      <w:r>
        <w:t>?</w:t>
      </w:r>
    </w:p>
    <w:p w:rsidR="00EC5D26" w:rsidRDefault="005722FE" w:rsidP="00B52195">
      <w:pPr>
        <w:pStyle w:val="Heading3"/>
        <w:numPr>
          <w:ilvl w:val="1"/>
          <w:numId w:val="5"/>
        </w:numPr>
        <w:spacing w:line="480" w:lineRule="auto"/>
        <w:rPr>
          <w:sz w:val="22"/>
        </w:rPr>
      </w:pPr>
      <w:r w:rsidRPr="006462EC">
        <w:rPr>
          <w:sz w:val="22"/>
        </w:rPr>
        <w:lastRenderedPageBreak/>
        <w:t>T</w:t>
      </w:r>
      <w:r w:rsidR="00EC5D26" w:rsidRPr="006462EC">
        <w:rPr>
          <w:sz w:val="22"/>
        </w:rPr>
        <w:t>heoretical Structure and Methods</w:t>
      </w:r>
    </w:p>
    <w:p w:rsidR="00B52195" w:rsidRPr="00B52195" w:rsidRDefault="00B52195" w:rsidP="00BE2582">
      <w:pPr>
        <w:spacing w:line="480" w:lineRule="auto"/>
        <w:ind w:firstLine="360"/>
      </w:pPr>
      <w:r>
        <w:t>For my first hypothesis</w:t>
      </w:r>
      <w:r w:rsidR="00716DAA">
        <w:t>,</w:t>
      </w:r>
      <w:r>
        <w:t xml:space="preserve"> I will critically analysis some of the core concepts in sustainability to look at how it is evolving as an important issue for government and policy makers. Such analysis will include looking at planetary boundaries </w:t>
      </w:r>
      <w:r>
        <w:fldChar w:fldCharType="begin" w:fldLock="1"/>
      </w:r>
      <w:r w:rsidR="004E427E">
        <w:instrText>ADDIN CSL_CITATION { "citationItems" : [ { "id" : "ITEM-1", "itemData" : { "author" : [ { "dropping-particle" : "", "family" : "Rockstr\u00f6m", "given" : "Johan", "non-dropping-particle" : "", "parse-names" : false, "suffix" : "" }, { "dropping-particle" : "", "family" : "Steffen", "given" : "Will", "non-dropping-particle" : "", "parse-names" : false, "suffix" : "" }, { "dropping-particle" : "", "family" : "Noone", "given" : "Kevin", "non-dropping-particle" : "", "parse-names" : false, "suffix" : "" }, { "dropping-particle" : "", "family" : "Persson", "given" : "\u00c5sa", "non-dropping-particle" : "", "parse-names" : false, "suffix" : "" }, { "dropping-particle" : "", "family" : "Chapin, III", "given" : "F. Stuart", "non-dropping-particle" : "", "parse-names" : false, "suffix" : "" }, { "dropping-particle" : "", "family" : "Lambin", "given" : "Eric F.", "non-dropping-particle" : "", "parse-names" : false, "suffix" : "" }, { "dropping-particle" : "", "family" : "Lenton, Timothy M. Scheffer", "given" : "Marten", "non-dropping-particle" : "", "parse-names" : false, "suffix" : "" }, { "dropping-particle" : "", "family" : "Folke", "given" : "Carl", "non-dropping-particle" : "", "parse-names" : false, "suffix" : "" }, { "dropping-particle" : "", "family" : "Schellnhuber", "given" : "Hans Joachim", "non-dropping-particle" : "", "parse-names" : false, "suffix" : "" }, { "dropping-particle" : "", "family" : "Nykvist", "given" : "Bj\u00f6rn", "non-dropping-particle" : "", "parse-names" : false, "suffix" : "" }, { "dropping-particle" : "", "family" : "Wit, Cynthia A. Hughes", "given" : "Terry", "non-dropping-particle" : "de", "parse-names" : false, "suffix" : "" }, { "dropping-particle" : "", "family" : "Leeuw, Sander Rodhe", "given" : "Henning", "non-dropping-particle" : "van der", "parse-names" : false, "suffix" : "" }, { "dropping-particle" : "", "family" : "S\u00f6rlin", "given" : "Sverker", "non-dropping-particle" : "", "parse-names" : false, "suffix" : "" }, { "dropping-particle" : "", "family" : "Snyder, Peter K. Costanza", "given" : "Robert", "non-dropping-particle" : "", "parse-names" : false, "suffix" : "" }, { "dropping-particle" : "", "family" : "Svedin", "given" : "Uno", "non-dropping-particle" : "", "parse-names" : false, "suffix" : "" }, { "dropping-particle" : "", "family" : "Falkenmark", "given" : "Malin", "non-dropping-particle" : "", "parse-names" : false, "suffix" : "" }, { "dropping-particle" : "", "family" : "Karlberg", "given" : "Louise", "non-dropping-particle" : "", "parse-names" : false, "suffix" : "" }, { "dropping-particle" : "", "family" : "Corell", "given" : "Robert W.", "non-dropping-particle" : "", "parse-names" : false, "suffix" : "" }, { "dropping-particle" : "", "family" : "Fabry", "given" : "Victoria J.", "non-dropping-particle" : "", "parse-names" : false, "suffix" : "" }, { "dropping-particle" : "", "family" : "Hansen", "given" : "James", "non-dropping-particle" : "", "parse-names" : false, "suffix" : "" }, { "dropping-particle" : "", "family" : "Walker", "given" : "Brian", "non-dropping-particle" : "", "parse-names" : false, "suffix" : "" }, { "dropping-particle" : "", "family" : "Liverman", "given" : "Diana", "non-dropping-particle" : "", "parse-names" : false, "suffix" : "" }, { "dropping-particle" : "", "family" : "Richardson", "given" : "Katherine", "non-dropping-particle" : "", "parse-names" : false, "suffix" : "" }, { "dropping-particle" : "", "family" : "Crutzen", "given" : "Paul", "non-dropping-particle" : "", "parse-names" : false, "suffix" : "" }, { "dropping-particle" : "", "family" : "Foley", "given" : "Jonathan A.", "non-dropping-particle" : "", "parse-names" : false, "suffix" : "" } ], "container-title" : "Nature", "id" : "ITEM-1", "issue" : "September", "issued" : { "date-parts" : [ [ "2009" ] ] }, "page" : "472-475", "title" : "A safe operating space for humanity", "type" : "article-journal", "volume" : "461" }, "uris" : [ "http://www.mendeley.com/documents/?uuid=e4c7a575-e51b-426e-9efc-80014fde7ac8" ] } ], "mendeley" : { "formattedCitation" : "(Rockstr\u00f6m et al. 2009)", "plainTextFormattedCitation" : "(Rockstr\u00f6m et al. 2009)", "previouslyFormattedCitation" : "(Rockstr\u00f6m et al., 2009)" }, "properties" : {  }, "schema" : "https://github.com/citation-style-language/schema/raw/master/csl-citation.json" }</w:instrText>
      </w:r>
      <w:r>
        <w:fldChar w:fldCharType="separate"/>
      </w:r>
      <w:r w:rsidR="004E427E" w:rsidRPr="004E427E">
        <w:rPr>
          <w:noProof/>
        </w:rPr>
        <w:t>(Rockström et al. 2009)</w:t>
      </w:r>
      <w:r>
        <w:fldChar w:fldCharType="end"/>
      </w:r>
      <w:r>
        <w:t xml:space="preserve">, UN Sustainable Development Goals </w:t>
      </w:r>
      <w:r>
        <w:fldChar w:fldCharType="begin" w:fldLock="1"/>
      </w:r>
      <w:r w:rsidR="004E427E">
        <w:instrText>ADDIN CSL_CITATION { "citationItems" : [ { "id" : "ITEM-1", "itemData" : { "DOI" : "10.18356/3405d09f-en", "ISBN" : "978-92-1-101340-5", "ISSN" : "2518-3958", "PMID" : "327", "abstract" : "On 1 January 2016, the world officially began implementation of the 2030 Agenda for Sustainable Development\u2014the transformative plan of action based on 17 Sustainable Development Goals\u2014to address urgent global challenges over the next 15 years. This agenda is a road map for people and the planet that will build on the success of the Millennium Development Goals and ensure sustainable social and economic progress world- wide. It seeks not only to eradicate extreme poverty, but also to integrate and balance the three dimensions of sustainable development\u2014economic, social and environmental\u2014in a comprehensive global vision.", "author" : [ { "dropping-particle" : "", "family" : "UN", "given" : "", "non-dropping-particle" : "", "parse-names" : false, "suffix" : "" } ], "container-title" : "United Nations", "id" : "ITEM-1", "issued" : { "date-parts" : [ [ "2017" ] ] }, "number-of-pages" : "1-56", "publisher-place" : "New York", "title" : "The Sustainable Development Goals Report 2017", "type" : "report" }, "uris" : [ "http://www.mendeley.com/documents/?uuid=38e9cd48-cbbe-46e3-92a5-050e24475152" ] } ], "mendeley" : { "formattedCitation" : "(UN 2017)", "plainTextFormattedCitation" : "(UN 2017)", "previouslyFormattedCitation" : "(UN, 2017)" }, "properties" : {  }, "schema" : "https://github.com/citation-style-language/schema/raw/master/csl-citation.json" }</w:instrText>
      </w:r>
      <w:r>
        <w:fldChar w:fldCharType="separate"/>
      </w:r>
      <w:r w:rsidR="004E427E" w:rsidRPr="004E427E">
        <w:rPr>
          <w:noProof/>
        </w:rPr>
        <w:t>(UN 2017)</w:t>
      </w:r>
      <w:r>
        <w:fldChar w:fldCharType="end"/>
      </w:r>
      <w:r>
        <w:t xml:space="preserve"> and action on climate change from a Public Administration perspective </w:t>
      </w:r>
      <w:r>
        <w:fldChar w:fldCharType="begin" w:fldLock="1"/>
      </w:r>
      <w:r w:rsidR="004E427E">
        <w:instrText>ADDIN CSL_CITATION { "citationItems" : [ { "id" : "ITEM-1", "itemData" : { "author" : [ { "dropping-particle" : "", "family" : "UNFCCC", "given" : "", "non-dropping-particle" : "", "parse-names" : false, "suffix" : "" } ], "id" : "ITEM-1", "issue" : "January", "issued" : { "date-parts" : [ [ "2016" ] ] }, "page" : "1-36", "title" : "Report of the {Conference} of the {Parties} on its twenty-first session, held in {Paris} from 30 {November} to 13 {December} 2015 {Addendum} {Part} two: {Action} taken by the {Conference} of the {Parties} at its twenty-first session", "type" : "article-journal", "volume" : "01194" }, "uris" : [ "http://www.mendeley.com/documents/?uuid=a6b9b2cd-40f2-4d2a-adc4-d56b8e1f6f92" ] } ], "mendeley" : { "formattedCitation" : "(UNFCCC 2016)", "plainTextFormattedCitation" : "(UNFCCC 2016)", "previouslyFormattedCitation" : "(UNFCCC, 2016)" }, "properties" : {  }, "schema" : "https://github.com/citation-style-language/schema/raw/master/csl-citation.json" }</w:instrText>
      </w:r>
      <w:r>
        <w:fldChar w:fldCharType="separate"/>
      </w:r>
      <w:r w:rsidR="004E427E" w:rsidRPr="004E427E">
        <w:rPr>
          <w:noProof/>
        </w:rPr>
        <w:t>(UNFCCC 2016)</w:t>
      </w:r>
      <w:r>
        <w:fldChar w:fldCharType="end"/>
      </w:r>
      <w:r w:rsidR="00BE00F0">
        <w:t xml:space="preserve">, </w:t>
      </w:r>
      <w:r>
        <w:t xml:space="preserve">among others. I will then consider whether PA is likely to be affected by these changes, and how this might occur. For my second </w:t>
      </w:r>
      <w:r w:rsidR="003157C8">
        <w:t>hypothesis</w:t>
      </w:r>
      <w:r>
        <w:t xml:space="preserve">, I will review how sustainable policy </w:t>
      </w:r>
      <w:r w:rsidR="00BE00F0">
        <w:t xml:space="preserve">would </w:t>
      </w:r>
      <w:r>
        <w:t xml:space="preserve">look compared to current policy. I will do </w:t>
      </w:r>
      <w:r w:rsidR="00716DAA">
        <w:t>this within the context of the policy</w:t>
      </w:r>
      <w:r>
        <w:t xml:space="preserve"> cycle framework</w:t>
      </w:r>
      <w:r w:rsidR="003157C8">
        <w:t xml:space="preserve"> </w:t>
      </w:r>
      <w:r>
        <w:fldChar w:fldCharType="begin" w:fldLock="1"/>
      </w:r>
      <w:r w:rsidR="004E427E">
        <w:instrText>ADDIN CSL_CITATION { "citationItems" : [ { "id" : "ITEM-1", "itemData" : { "ISBN" : "978-1-57444-561-9", "author" : [ { "dropping-particle" : "", "family" : "Jann", "given" : "Werner", "non-dropping-particle" : "", "parse-names" : false, "suffix" : "" }, { "dropping-particle" : "", "family" : "Wegrich", "given" : "Kai", "non-dropping-particle" : "", "parse-names" : false, "suffix" : "" } ], "id" : "ITEM-1", "issued" : { "date-parts" : [ [ "2006" ] ] }, "page" : "43-62", "title" : "4 Theories of the Policy Cycle", "type" : "article" }, "uris" : [ "http://www.mendeley.com/documents/?uuid=6d0a9858-6f0f-461a-b78b-7219af72cea0" ] } ], "mendeley" : { "formattedCitation" : "(Jann and Wegrich 2006)", "plainTextFormattedCitation" : "(Jann and Wegrich 2006)", "previouslyFormattedCitation" : "(Jann &amp; Wegrich, 2006)" }, "properties" : {  }, "schema" : "https://github.com/citation-style-language/schema/raw/master/csl-citation.json" }</w:instrText>
      </w:r>
      <w:r>
        <w:fldChar w:fldCharType="separate"/>
      </w:r>
      <w:r w:rsidR="004E427E" w:rsidRPr="004E427E">
        <w:rPr>
          <w:noProof/>
        </w:rPr>
        <w:t>(Jann and Wegrich 2006)</w:t>
      </w:r>
      <w:r>
        <w:fldChar w:fldCharType="end"/>
      </w:r>
      <w:r w:rsidR="006645A7">
        <w:t xml:space="preserve">. Finally, I will review </w:t>
      </w:r>
      <w:r>
        <w:t xml:space="preserve">MPA/MPP programs at the top universities in the United States. I will look at </w:t>
      </w:r>
      <w:r w:rsidR="003157C8">
        <w:t>various measures of sustainability training, including looking at the nature of environmental courses and the availability of sustainability or environmental policy majors</w:t>
      </w:r>
      <w:r w:rsidR="006645A7">
        <w:t xml:space="preserve"> </w:t>
      </w:r>
      <w:r w:rsidR="00716DAA">
        <w:t xml:space="preserve">to gain insight </w:t>
      </w:r>
      <w:r w:rsidR="003157C8">
        <w:t xml:space="preserve">into whether public administration schools are preparing future leaders </w:t>
      </w:r>
      <w:r w:rsidR="00716DAA">
        <w:t xml:space="preserve">to tackle </w:t>
      </w:r>
      <w:r w:rsidR="003157C8">
        <w:t>emerging issues in climate change, biodiversity and sustainability.</w:t>
      </w:r>
    </w:p>
    <w:p w:rsidR="005A7621" w:rsidRPr="006462EC" w:rsidRDefault="00EC5D26" w:rsidP="0012285D">
      <w:pPr>
        <w:pStyle w:val="Heading3"/>
        <w:spacing w:line="480" w:lineRule="auto"/>
        <w:rPr>
          <w:sz w:val="22"/>
        </w:rPr>
      </w:pPr>
      <w:r w:rsidRPr="006462EC">
        <w:rPr>
          <w:sz w:val="22"/>
        </w:rPr>
        <w:t>3.3 Implications</w:t>
      </w:r>
    </w:p>
    <w:p w:rsidR="00EC5D26" w:rsidRPr="003157C8" w:rsidRDefault="003157C8" w:rsidP="0012285D">
      <w:pPr>
        <w:spacing w:line="480" w:lineRule="auto"/>
      </w:pPr>
      <w:r w:rsidRPr="003157C8">
        <w:t>This paper would be the first to systematically tie sustainability literature to public administration. By investigating how sustainable policy and governance is different to current methods, I will offer insights to public administration scholars and schools on how better to integrate and consider sustainability as an important component of public administration.</w:t>
      </w:r>
    </w:p>
    <w:p w:rsidR="00EC5D26" w:rsidRPr="006462EC" w:rsidRDefault="00EC5D26" w:rsidP="002073A2">
      <w:pPr>
        <w:pStyle w:val="Heading2"/>
        <w:spacing w:line="360" w:lineRule="auto"/>
        <w:rPr>
          <w:sz w:val="24"/>
        </w:rPr>
      </w:pPr>
      <w:r w:rsidRPr="006462EC">
        <w:rPr>
          <w:sz w:val="24"/>
        </w:rPr>
        <w:t>Timetable for Completion</w:t>
      </w:r>
    </w:p>
    <w:p w:rsidR="00EC5D26" w:rsidRPr="006462EC" w:rsidRDefault="006645A7" w:rsidP="006645A7">
      <w:pPr>
        <w:spacing w:line="360" w:lineRule="auto"/>
      </w:pPr>
      <w:r>
        <w:t xml:space="preserve">2018 </w:t>
      </w:r>
      <w:r>
        <w:tab/>
      </w:r>
      <w:r>
        <w:tab/>
      </w:r>
      <w:r w:rsidR="00EC5D26" w:rsidRPr="006462EC">
        <w:t>August – Advanced draft of chapter #2</w:t>
      </w:r>
    </w:p>
    <w:p w:rsidR="00EC5D26" w:rsidRPr="006462EC" w:rsidRDefault="00EC5D26" w:rsidP="002073A2">
      <w:pPr>
        <w:spacing w:line="360" w:lineRule="auto"/>
      </w:pPr>
      <w:r w:rsidRPr="006462EC">
        <w:tab/>
      </w:r>
      <w:r w:rsidR="006645A7">
        <w:tab/>
      </w:r>
      <w:r w:rsidRPr="006462EC">
        <w:t>September – Present chapter #2 as part of the SPA colloquium</w:t>
      </w:r>
    </w:p>
    <w:p w:rsidR="00EC5D26" w:rsidRPr="006462EC" w:rsidRDefault="00EC5D26" w:rsidP="002073A2">
      <w:pPr>
        <w:spacing w:line="360" w:lineRule="auto"/>
      </w:pPr>
      <w:r w:rsidRPr="006462EC">
        <w:tab/>
      </w:r>
      <w:r w:rsidR="006645A7">
        <w:tab/>
      </w:r>
      <w:r w:rsidRPr="006462EC">
        <w:t>December – Advanced draft of chapter #3</w:t>
      </w:r>
    </w:p>
    <w:p w:rsidR="00EC5D26" w:rsidRPr="006462EC" w:rsidRDefault="00EC5D26" w:rsidP="002073A2">
      <w:pPr>
        <w:spacing w:line="360" w:lineRule="auto"/>
      </w:pPr>
      <w:r w:rsidRPr="006462EC">
        <w:t>2019</w:t>
      </w:r>
      <w:r w:rsidR="006645A7">
        <w:tab/>
      </w:r>
      <w:r w:rsidRPr="006462EC">
        <w:tab/>
        <w:t>April – Advanced draft of chapter #1</w:t>
      </w:r>
    </w:p>
    <w:p w:rsidR="00EC5D26" w:rsidRPr="006462EC" w:rsidRDefault="00EC5D26" w:rsidP="002073A2">
      <w:pPr>
        <w:spacing w:line="360" w:lineRule="auto"/>
      </w:pPr>
      <w:r w:rsidRPr="006462EC">
        <w:tab/>
      </w:r>
      <w:r w:rsidR="006645A7">
        <w:tab/>
      </w:r>
      <w:r w:rsidRPr="006462EC">
        <w:t>June – Advanced draft of complete dissertation</w:t>
      </w:r>
    </w:p>
    <w:p w:rsidR="002073A2" w:rsidRDefault="00EC5D26" w:rsidP="002073A2">
      <w:pPr>
        <w:spacing w:line="360" w:lineRule="auto"/>
      </w:pPr>
      <w:r w:rsidRPr="006462EC">
        <w:tab/>
      </w:r>
      <w:r w:rsidR="006645A7">
        <w:tab/>
      </w:r>
      <w:r w:rsidRPr="006462EC">
        <w:t>July-August – defend dissertation</w:t>
      </w:r>
    </w:p>
    <w:p w:rsidR="00AC1A86" w:rsidRPr="006462EC" w:rsidRDefault="00AC1A86" w:rsidP="0012285D">
      <w:pPr>
        <w:pStyle w:val="Heading2"/>
        <w:spacing w:line="480" w:lineRule="auto"/>
        <w:rPr>
          <w:sz w:val="24"/>
        </w:rPr>
      </w:pPr>
      <w:r w:rsidRPr="006462EC">
        <w:rPr>
          <w:sz w:val="24"/>
        </w:rPr>
        <w:lastRenderedPageBreak/>
        <w:t>References</w:t>
      </w:r>
    </w:p>
    <w:p w:rsidR="004E427E" w:rsidRPr="004E427E" w:rsidRDefault="00AC1A86" w:rsidP="004E427E">
      <w:pPr>
        <w:widowControl w:val="0"/>
        <w:autoSpaceDE w:val="0"/>
        <w:autoSpaceDN w:val="0"/>
        <w:adjustRightInd w:val="0"/>
        <w:spacing w:line="480" w:lineRule="auto"/>
        <w:ind w:left="480" w:hanging="480"/>
        <w:rPr>
          <w:rFonts w:ascii="Calibri" w:hAnsi="Calibri" w:cs="Calibri"/>
          <w:noProof/>
          <w:sz w:val="20"/>
          <w:szCs w:val="24"/>
        </w:rPr>
      </w:pPr>
      <w:r w:rsidRPr="006462EC">
        <w:rPr>
          <w:sz w:val="20"/>
        </w:rPr>
        <w:fldChar w:fldCharType="begin" w:fldLock="1"/>
      </w:r>
      <w:r w:rsidRPr="006462EC">
        <w:rPr>
          <w:sz w:val="20"/>
        </w:rPr>
        <w:instrText xml:space="preserve">ADDIN Mendeley Bibliography CSL_BIBLIOGRAPHY </w:instrText>
      </w:r>
      <w:r w:rsidRPr="006462EC">
        <w:rPr>
          <w:sz w:val="20"/>
        </w:rPr>
        <w:fldChar w:fldCharType="separate"/>
      </w:r>
      <w:r w:rsidR="004E427E" w:rsidRPr="004E427E">
        <w:rPr>
          <w:rFonts w:ascii="Calibri" w:hAnsi="Calibri" w:cs="Calibri"/>
          <w:noProof/>
          <w:sz w:val="20"/>
          <w:szCs w:val="24"/>
        </w:rPr>
        <w:t xml:space="preserve">Auer, Benjamin R., and Frank Schuhmacher. 2016. “Do Socially (Ir)responsible Investments Pay? New Evidence from International ESG Data.” </w:t>
      </w:r>
      <w:r w:rsidR="004E427E" w:rsidRPr="004E427E">
        <w:rPr>
          <w:rFonts w:ascii="Calibri" w:hAnsi="Calibri" w:cs="Calibri"/>
          <w:i/>
          <w:iCs/>
          <w:noProof/>
          <w:sz w:val="20"/>
          <w:szCs w:val="24"/>
        </w:rPr>
        <w:t>Quarterly Review of Economics and Finance</w:t>
      </w:r>
      <w:r w:rsidR="004E427E" w:rsidRPr="004E427E">
        <w:rPr>
          <w:rFonts w:ascii="Calibri" w:hAnsi="Calibri" w:cs="Calibri"/>
          <w:noProof/>
          <w:sz w:val="20"/>
          <w:szCs w:val="24"/>
        </w:rPr>
        <w:t xml:space="preserve"> 59: 51–62. http://dx.doi.org/10.1016/j.qref.2015.07.002.</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 xml:space="preserve">Benlemlih, Mohammed, and Mohammad Bitar. 2016. “Corporate Social Responsibility and Investment Efficiency.” </w:t>
      </w:r>
      <w:r w:rsidRPr="004E427E">
        <w:rPr>
          <w:rFonts w:ascii="Calibri" w:hAnsi="Calibri" w:cs="Calibri"/>
          <w:i/>
          <w:iCs/>
          <w:noProof/>
          <w:sz w:val="20"/>
          <w:szCs w:val="24"/>
        </w:rPr>
        <w:t>Journal of Business Ethics</w:t>
      </w:r>
      <w:r w:rsidRPr="004E427E">
        <w:rPr>
          <w:rFonts w:ascii="Calibri" w:hAnsi="Calibri" w:cs="Calibri"/>
          <w:noProof/>
          <w:sz w:val="20"/>
          <w:szCs w:val="24"/>
        </w:rPr>
        <w:t xml:space="preserve"> (September 2015): 1–25.</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 xml:space="preserve">Blasi, Silvia, Massimiliano Caporin, and Fulvio Fontini. 2018. “A Multidimensional Analysis of the Relationship Between Corporate Social Responsibility and Firms’ Economic Performance.” </w:t>
      </w:r>
      <w:r w:rsidRPr="004E427E">
        <w:rPr>
          <w:rFonts w:ascii="Calibri" w:hAnsi="Calibri" w:cs="Calibri"/>
          <w:i/>
          <w:iCs/>
          <w:noProof/>
          <w:sz w:val="20"/>
          <w:szCs w:val="24"/>
        </w:rPr>
        <w:t>Ecological Economics</w:t>
      </w:r>
      <w:r w:rsidRPr="004E427E">
        <w:rPr>
          <w:rFonts w:ascii="Calibri" w:hAnsi="Calibri" w:cs="Calibri"/>
          <w:noProof/>
          <w:sz w:val="20"/>
          <w:szCs w:val="24"/>
        </w:rPr>
        <w:t xml:space="preserve"> 147(October 2017): 218–29. http://linkinghub.elsevier.com/retrieve/pii/S0921800917303968.</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Cai, Xiqian, Yi Lu, and Jin Wang. 2016. “The Impact of Temperature on Manufacturing Worker Productivity : Evidence from Personnel Data.”</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 xml:space="preserve">Chang, Tom, Joshua Graff Zivin, Tal Gross, and Matthew Neidell. 2016. “Particulate Pollution and the Productivity of Pear Packers.” </w:t>
      </w:r>
      <w:r w:rsidRPr="004E427E">
        <w:rPr>
          <w:rFonts w:ascii="Calibri" w:hAnsi="Calibri" w:cs="Calibri"/>
          <w:i/>
          <w:iCs/>
          <w:noProof/>
          <w:sz w:val="20"/>
          <w:szCs w:val="24"/>
        </w:rPr>
        <w:t>American Economic Journal: Economic Policy</w:t>
      </w:r>
      <w:r w:rsidRPr="004E427E">
        <w:rPr>
          <w:rFonts w:ascii="Calibri" w:hAnsi="Calibri" w:cs="Calibri"/>
          <w:noProof/>
          <w:sz w:val="20"/>
          <w:szCs w:val="24"/>
        </w:rPr>
        <w:t xml:space="preserve"> 8(3): 141–69.</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 xml:space="preserve">El Ghoul, Sadok, Omrane Guedhami, Chuck C.Y. Kwok, and Dev R. Mishra. 2011. “Does Corporate Social Responsibility Affect the Cost of Capital?” </w:t>
      </w:r>
      <w:r w:rsidRPr="004E427E">
        <w:rPr>
          <w:rFonts w:ascii="Calibri" w:hAnsi="Calibri" w:cs="Calibri"/>
          <w:i/>
          <w:iCs/>
          <w:noProof/>
          <w:sz w:val="20"/>
          <w:szCs w:val="24"/>
        </w:rPr>
        <w:t>Journal of Banking and Finance</w:t>
      </w:r>
      <w:r w:rsidRPr="004E427E">
        <w:rPr>
          <w:rFonts w:ascii="Calibri" w:hAnsi="Calibri" w:cs="Calibri"/>
          <w:noProof/>
          <w:sz w:val="20"/>
          <w:szCs w:val="24"/>
        </w:rPr>
        <w:t xml:space="preserve"> 35(9): 2388–2406. http://dx.doi.org/10.1016/j.jbankfin.2011.02.007.</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Graff Zivin, Joshua, and Matthew Neidell. 2012. “The Impact of Pollution on Worker Productivity.” 102(7): 3652–73.</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 xml:space="preserve">Hill, R.P., T. Ainscough, T. Shank, and D. Manullang. 2007. “Corporate Social Responsibility and Socially Responsible Investing: A Global Perspective.” </w:t>
      </w:r>
      <w:r w:rsidRPr="004E427E">
        <w:rPr>
          <w:rFonts w:ascii="Calibri" w:hAnsi="Calibri" w:cs="Calibri"/>
          <w:i/>
          <w:iCs/>
          <w:noProof/>
          <w:sz w:val="20"/>
          <w:szCs w:val="24"/>
        </w:rPr>
        <w:t>Journal of Business Ethics</w:t>
      </w:r>
      <w:r w:rsidRPr="004E427E">
        <w:rPr>
          <w:rFonts w:ascii="Calibri" w:hAnsi="Calibri" w:cs="Calibri"/>
          <w:noProof/>
          <w:sz w:val="20"/>
          <w:szCs w:val="24"/>
        </w:rPr>
        <w:t xml:space="preserve"> 70(2): 617–33.</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Jann, Werner, and Kai Wegrich. 2006. “4 Theories of the Policy Cycle.” : 43–62.</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 xml:space="preserve">Light, Paul C. 2006. “The Tides of Reform Revisited: Patterns in Making Government Work, 1945-2002.” </w:t>
      </w:r>
      <w:r w:rsidRPr="004E427E">
        <w:rPr>
          <w:rFonts w:ascii="Calibri" w:hAnsi="Calibri" w:cs="Calibri"/>
          <w:i/>
          <w:iCs/>
          <w:noProof/>
          <w:sz w:val="20"/>
          <w:szCs w:val="24"/>
        </w:rPr>
        <w:t>Public Administration Review</w:t>
      </w:r>
      <w:r w:rsidRPr="004E427E">
        <w:rPr>
          <w:rFonts w:ascii="Calibri" w:hAnsi="Calibri" w:cs="Calibri"/>
          <w:noProof/>
          <w:sz w:val="20"/>
          <w:szCs w:val="24"/>
        </w:rPr>
        <w:t xml:space="preserve"> 66(1): 6–19.</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lastRenderedPageBreak/>
        <w:t xml:space="preserve">Lynn, Laurence E. Jr. 1998. “The New Public Management: How to Transform a Theme into a Legacy.” </w:t>
      </w:r>
      <w:r w:rsidRPr="004E427E">
        <w:rPr>
          <w:rFonts w:ascii="Calibri" w:hAnsi="Calibri" w:cs="Calibri"/>
          <w:i/>
          <w:iCs/>
          <w:noProof/>
          <w:sz w:val="20"/>
          <w:szCs w:val="24"/>
        </w:rPr>
        <w:t>Public administration review</w:t>
      </w:r>
      <w:r w:rsidRPr="004E427E">
        <w:rPr>
          <w:rFonts w:ascii="Calibri" w:hAnsi="Calibri" w:cs="Calibri"/>
          <w:noProof/>
          <w:sz w:val="20"/>
          <w:szCs w:val="24"/>
        </w:rPr>
        <w:t xml:space="preserve"> 58(3): 231. http://search.ebscohost.com.ezproxy.liv.ac.uk/login.aspx?direct=true&amp;db=edsjsr&amp;AN=edsjsr.10.2307.976563&amp;site=eds-live&amp;scope=site.</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 xml:space="preserve">Martin, J. 1986. “Happy Returns for Do-Gooders.” </w:t>
      </w:r>
      <w:r w:rsidRPr="004E427E">
        <w:rPr>
          <w:rFonts w:ascii="Calibri" w:hAnsi="Calibri" w:cs="Calibri"/>
          <w:i/>
          <w:iCs/>
          <w:noProof/>
          <w:sz w:val="20"/>
          <w:szCs w:val="24"/>
        </w:rPr>
        <w:t>Financial World</w:t>
      </w:r>
      <w:r w:rsidRPr="004E427E">
        <w:rPr>
          <w:rFonts w:ascii="Calibri" w:hAnsi="Calibri" w:cs="Calibri"/>
          <w:noProof/>
          <w:sz w:val="20"/>
          <w:szCs w:val="24"/>
        </w:rPr>
        <w:t xml:space="preserve"> (March 18): 32–33.</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 xml:space="preserve">O’Neill, Saffron, and Sophie Nicholson-Cole. 2009. “‘Fear Won’t Do It’: Promoting Positive Engagement With Climate Change Through Visual and Iconic Representations.” </w:t>
      </w:r>
      <w:r w:rsidRPr="004E427E">
        <w:rPr>
          <w:rFonts w:ascii="Calibri" w:hAnsi="Calibri" w:cs="Calibri"/>
          <w:i/>
          <w:iCs/>
          <w:noProof/>
          <w:sz w:val="20"/>
          <w:szCs w:val="24"/>
        </w:rPr>
        <w:t>Science Communication</w:t>
      </w:r>
      <w:r w:rsidRPr="004E427E">
        <w:rPr>
          <w:rFonts w:ascii="Calibri" w:hAnsi="Calibri" w:cs="Calibri"/>
          <w:noProof/>
          <w:sz w:val="20"/>
          <w:szCs w:val="24"/>
        </w:rPr>
        <w:t xml:space="preserve"> 30(3): 355–79. https://doi.org/10.1177/1075547008329201.</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 xml:space="preserve">Poumadere, M, C Mays, S Le Mer, and R Blong. 2005. “The 2003 HeatWave in France: Dangerous Climate Change Here and Now.” </w:t>
      </w:r>
      <w:r w:rsidRPr="004E427E">
        <w:rPr>
          <w:rFonts w:ascii="Calibri" w:hAnsi="Calibri" w:cs="Calibri"/>
          <w:i/>
          <w:iCs/>
          <w:noProof/>
          <w:sz w:val="20"/>
          <w:szCs w:val="24"/>
        </w:rPr>
        <w:t>Risk Analysis</w:t>
      </w:r>
      <w:r w:rsidRPr="004E427E">
        <w:rPr>
          <w:rFonts w:ascii="Calibri" w:hAnsi="Calibri" w:cs="Calibri"/>
          <w:noProof/>
          <w:sz w:val="20"/>
          <w:szCs w:val="24"/>
        </w:rPr>
        <w:t xml:space="preserve"> 25(6): 1483–94. https://doi.org/10.1111/j.1539-6924.2005.00694.x.</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 xml:space="preserve">Rockström, Johan et al. 2009. “A Safe Operating Space for Humanity.” </w:t>
      </w:r>
      <w:r w:rsidRPr="004E427E">
        <w:rPr>
          <w:rFonts w:ascii="Calibri" w:hAnsi="Calibri" w:cs="Calibri"/>
          <w:i/>
          <w:iCs/>
          <w:noProof/>
          <w:sz w:val="20"/>
          <w:szCs w:val="24"/>
        </w:rPr>
        <w:t>Nature</w:t>
      </w:r>
      <w:r w:rsidRPr="004E427E">
        <w:rPr>
          <w:rFonts w:ascii="Calibri" w:hAnsi="Calibri" w:cs="Calibri"/>
          <w:noProof/>
          <w:sz w:val="20"/>
          <w:szCs w:val="24"/>
        </w:rPr>
        <w:t xml:space="preserve"> 461(September): 472–75.</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 xml:space="preserve">Rosenbloom, David. 2008. “The Politics-Administration Dichotomy in U. S. Historical Context.” </w:t>
      </w:r>
      <w:r w:rsidRPr="004E427E">
        <w:rPr>
          <w:rFonts w:ascii="Calibri" w:hAnsi="Calibri" w:cs="Calibri"/>
          <w:i/>
          <w:iCs/>
          <w:noProof/>
          <w:sz w:val="20"/>
          <w:szCs w:val="24"/>
        </w:rPr>
        <w:t>Public Adinistration Review</w:t>
      </w:r>
      <w:r w:rsidRPr="004E427E">
        <w:rPr>
          <w:rFonts w:ascii="Calibri" w:hAnsi="Calibri" w:cs="Calibri"/>
          <w:noProof/>
          <w:sz w:val="20"/>
          <w:szCs w:val="24"/>
        </w:rPr>
        <w:t xml:space="preserve"> 68(1): 57–60. http://www.jstor.org/stable/25145576.</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 xml:space="preserve">Shaw, Rajib, and Katsuihciro Goda. 2004. “From Disaster to Sustainable Civil Society: The Kobe Experience.” </w:t>
      </w:r>
      <w:r w:rsidRPr="004E427E">
        <w:rPr>
          <w:rFonts w:ascii="Calibri" w:hAnsi="Calibri" w:cs="Calibri"/>
          <w:i/>
          <w:iCs/>
          <w:noProof/>
          <w:sz w:val="20"/>
          <w:szCs w:val="24"/>
        </w:rPr>
        <w:t>Disasters</w:t>
      </w:r>
      <w:r w:rsidRPr="004E427E">
        <w:rPr>
          <w:rFonts w:ascii="Calibri" w:hAnsi="Calibri" w:cs="Calibri"/>
          <w:noProof/>
          <w:sz w:val="20"/>
          <w:szCs w:val="24"/>
        </w:rPr>
        <w:t xml:space="preserve"> 28(1): 16–40. https://doi.org/10.1111/j.0361-3666.2004.00241.x.</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 xml:space="preserve">UN. 2017. United Nations </w:t>
      </w:r>
      <w:r w:rsidRPr="004E427E">
        <w:rPr>
          <w:rFonts w:ascii="Calibri" w:hAnsi="Calibri" w:cs="Calibri"/>
          <w:i/>
          <w:iCs/>
          <w:noProof/>
          <w:sz w:val="20"/>
          <w:szCs w:val="24"/>
        </w:rPr>
        <w:t>The Sustainable Development Goals Report 2017</w:t>
      </w:r>
      <w:r w:rsidRPr="004E427E">
        <w:rPr>
          <w:rFonts w:ascii="Calibri" w:hAnsi="Calibri" w:cs="Calibri"/>
          <w:noProof/>
          <w:sz w:val="20"/>
          <w:szCs w:val="24"/>
        </w:rPr>
        <w:t>. New York. https://unstats.un.org/sdgs/files/report/2017/TheSustainableDevelopmentGoalsReport2017.pdf.</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szCs w:val="24"/>
        </w:rPr>
      </w:pPr>
      <w:r w:rsidRPr="004E427E">
        <w:rPr>
          <w:rFonts w:ascii="Calibri" w:hAnsi="Calibri" w:cs="Calibri"/>
          <w:noProof/>
          <w:sz w:val="20"/>
          <w:szCs w:val="24"/>
        </w:rPr>
        <w:t>UNFCCC. 2016. “Report of the {Conference} of the {Parties} on Its Twenty-First Session, Held in {Paris} from 30 {November} to 13 {December} 2015 {Addendum} {Part} Two: {Action} Taken by the {Conference} of the {Parties} at Its Twenty-First Session.” 1194(January): 1–36.</w:t>
      </w:r>
    </w:p>
    <w:p w:rsidR="004E427E" w:rsidRPr="004E427E" w:rsidRDefault="004E427E" w:rsidP="004E427E">
      <w:pPr>
        <w:widowControl w:val="0"/>
        <w:autoSpaceDE w:val="0"/>
        <w:autoSpaceDN w:val="0"/>
        <w:adjustRightInd w:val="0"/>
        <w:spacing w:line="480" w:lineRule="auto"/>
        <w:ind w:left="480" w:hanging="480"/>
        <w:rPr>
          <w:rFonts w:ascii="Calibri" w:hAnsi="Calibri" w:cs="Calibri"/>
          <w:noProof/>
          <w:sz w:val="20"/>
        </w:rPr>
      </w:pPr>
      <w:r w:rsidRPr="004E427E">
        <w:rPr>
          <w:rFonts w:ascii="Calibri" w:hAnsi="Calibri" w:cs="Calibri"/>
          <w:noProof/>
          <w:sz w:val="20"/>
          <w:szCs w:val="24"/>
        </w:rPr>
        <w:t xml:space="preserve">Zhang, Peng, Olivier Deschenes, Kyle Meng, and Junjie Zhang. 2017. “Temperature Effects on Productivity and Factor Reallocation :” </w:t>
      </w:r>
      <w:r w:rsidRPr="004E427E">
        <w:rPr>
          <w:rFonts w:ascii="Calibri" w:hAnsi="Calibri" w:cs="Calibri"/>
          <w:i/>
          <w:iCs/>
          <w:noProof/>
          <w:sz w:val="20"/>
          <w:szCs w:val="24"/>
        </w:rPr>
        <w:t>JEEM/NBER</w:t>
      </w:r>
      <w:r w:rsidRPr="004E427E">
        <w:rPr>
          <w:rFonts w:ascii="Calibri" w:hAnsi="Calibri" w:cs="Calibri"/>
          <w:noProof/>
          <w:sz w:val="20"/>
          <w:szCs w:val="24"/>
        </w:rPr>
        <w:t>.</w:t>
      </w:r>
    </w:p>
    <w:p w:rsidR="00AC1A86" w:rsidRPr="006462EC" w:rsidRDefault="00AC1A86" w:rsidP="0012285D">
      <w:pPr>
        <w:spacing w:line="480" w:lineRule="auto"/>
        <w:rPr>
          <w:sz w:val="20"/>
        </w:rPr>
      </w:pPr>
      <w:r w:rsidRPr="006462EC">
        <w:rPr>
          <w:sz w:val="20"/>
        </w:rPr>
        <w:fldChar w:fldCharType="end"/>
      </w:r>
    </w:p>
    <w:sectPr w:rsidR="00AC1A86" w:rsidRPr="006462EC" w:rsidSect="0008100D">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21B" w:rsidRDefault="00FA221B" w:rsidP="00BE00F0">
      <w:pPr>
        <w:spacing w:after="0" w:line="240" w:lineRule="auto"/>
      </w:pPr>
      <w:r>
        <w:separator/>
      </w:r>
    </w:p>
  </w:endnote>
  <w:endnote w:type="continuationSeparator" w:id="0">
    <w:p w:rsidR="00FA221B" w:rsidRDefault="00FA221B" w:rsidP="00BE0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21B" w:rsidRDefault="00FA221B" w:rsidP="00BE00F0">
      <w:pPr>
        <w:spacing w:after="0" w:line="240" w:lineRule="auto"/>
      </w:pPr>
      <w:r>
        <w:separator/>
      </w:r>
    </w:p>
  </w:footnote>
  <w:footnote w:type="continuationSeparator" w:id="0">
    <w:p w:rsidR="00FA221B" w:rsidRDefault="00FA221B" w:rsidP="00BE0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F1E05"/>
    <w:multiLevelType w:val="multilevel"/>
    <w:tmpl w:val="4D3A155E"/>
    <w:lvl w:ilvl="0">
      <w:start w:val="1"/>
      <w:numFmt w:val="decimal"/>
      <w:lvlText w:val="%1."/>
      <w:lvlJc w:val="left"/>
      <w:pPr>
        <w:ind w:left="450" w:hanging="360"/>
      </w:pPr>
      <w:rPr>
        <w:rFonts w:hint="default"/>
      </w:rPr>
    </w:lvl>
    <w:lvl w:ilvl="1">
      <w:start w:val="3"/>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1" w15:restartNumberingAfterBreak="0">
    <w:nsid w:val="3E19093E"/>
    <w:multiLevelType w:val="multilevel"/>
    <w:tmpl w:val="90F23136"/>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5F477CB2"/>
    <w:multiLevelType w:val="multilevel"/>
    <w:tmpl w:val="234C69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D04859"/>
    <w:multiLevelType w:val="multilevel"/>
    <w:tmpl w:val="8B1C51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F746522"/>
    <w:multiLevelType w:val="multilevel"/>
    <w:tmpl w:val="4B2EBBF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B0"/>
    <w:rsid w:val="00032442"/>
    <w:rsid w:val="0008100D"/>
    <w:rsid w:val="0012044F"/>
    <w:rsid w:val="0012285D"/>
    <w:rsid w:val="001A25AC"/>
    <w:rsid w:val="001C44FB"/>
    <w:rsid w:val="001C7B05"/>
    <w:rsid w:val="002073A2"/>
    <w:rsid w:val="002173C0"/>
    <w:rsid w:val="00243C82"/>
    <w:rsid w:val="0029275A"/>
    <w:rsid w:val="003035D0"/>
    <w:rsid w:val="003157C8"/>
    <w:rsid w:val="003B76B0"/>
    <w:rsid w:val="004312F5"/>
    <w:rsid w:val="00473088"/>
    <w:rsid w:val="004A3B68"/>
    <w:rsid w:val="004D5656"/>
    <w:rsid w:val="004E427E"/>
    <w:rsid w:val="004F645E"/>
    <w:rsid w:val="005217E5"/>
    <w:rsid w:val="005722FE"/>
    <w:rsid w:val="00596E97"/>
    <w:rsid w:val="005A7621"/>
    <w:rsid w:val="005B4F3A"/>
    <w:rsid w:val="0062479D"/>
    <w:rsid w:val="006462EC"/>
    <w:rsid w:val="006645A7"/>
    <w:rsid w:val="006B6E45"/>
    <w:rsid w:val="006E29C7"/>
    <w:rsid w:val="006E712E"/>
    <w:rsid w:val="00716DAA"/>
    <w:rsid w:val="007A2EEB"/>
    <w:rsid w:val="007E61CD"/>
    <w:rsid w:val="00824BB7"/>
    <w:rsid w:val="008F0B91"/>
    <w:rsid w:val="0090539C"/>
    <w:rsid w:val="009150CA"/>
    <w:rsid w:val="009D2A98"/>
    <w:rsid w:val="009E78C9"/>
    <w:rsid w:val="00A827B6"/>
    <w:rsid w:val="00AC1A86"/>
    <w:rsid w:val="00AD1E95"/>
    <w:rsid w:val="00AD5F50"/>
    <w:rsid w:val="00B03B37"/>
    <w:rsid w:val="00B52195"/>
    <w:rsid w:val="00BE00F0"/>
    <w:rsid w:val="00BE2582"/>
    <w:rsid w:val="00BF5F5D"/>
    <w:rsid w:val="00C0244C"/>
    <w:rsid w:val="00C64A2F"/>
    <w:rsid w:val="00CB506C"/>
    <w:rsid w:val="00D61067"/>
    <w:rsid w:val="00D93581"/>
    <w:rsid w:val="00DA511D"/>
    <w:rsid w:val="00DE2EDB"/>
    <w:rsid w:val="00E94ED1"/>
    <w:rsid w:val="00EC5D26"/>
    <w:rsid w:val="00EC6E5E"/>
    <w:rsid w:val="00F2501E"/>
    <w:rsid w:val="00F31476"/>
    <w:rsid w:val="00F807B2"/>
    <w:rsid w:val="00F8335F"/>
    <w:rsid w:val="00FA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B54D40-EFA2-47A9-BA5A-C7588941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6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6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76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7B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76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76B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C7B05"/>
    <w:pPr>
      <w:ind w:left="720"/>
      <w:contextualSpacing/>
    </w:pPr>
  </w:style>
  <w:style w:type="character" w:customStyle="1" w:styleId="Heading4Char">
    <w:name w:val="Heading 4 Char"/>
    <w:basedOn w:val="DefaultParagraphFont"/>
    <w:link w:val="Heading4"/>
    <w:uiPriority w:val="9"/>
    <w:rsid w:val="001C7B05"/>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BE0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0F0"/>
  </w:style>
  <w:style w:type="paragraph" w:styleId="Footer">
    <w:name w:val="footer"/>
    <w:basedOn w:val="Normal"/>
    <w:link w:val="FooterChar"/>
    <w:uiPriority w:val="99"/>
    <w:unhideWhenUsed/>
    <w:rsid w:val="00BE0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0F0"/>
  </w:style>
  <w:style w:type="paragraph" w:styleId="BalloonText">
    <w:name w:val="Balloon Text"/>
    <w:basedOn w:val="Normal"/>
    <w:link w:val="BalloonTextChar"/>
    <w:uiPriority w:val="99"/>
    <w:semiHidden/>
    <w:unhideWhenUsed/>
    <w:rsid w:val="00B03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B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7BC22-DD91-4BC5-8EBB-7AC2A9284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8052</Words>
  <Characters>45900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American University</Company>
  <LinksUpToDate>false</LinksUpToDate>
  <CharactersWithSpaces>53845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Gordon</dc:creator>
  <cp:keywords/>
  <dc:description/>
  <cp:lastModifiedBy>James Gordon</cp:lastModifiedBy>
  <cp:revision>4</cp:revision>
  <cp:lastPrinted>2018-04-11T19:14:00Z</cp:lastPrinted>
  <dcterms:created xsi:type="dcterms:W3CDTF">2018-06-01T22:43:00Z</dcterms:created>
  <dcterms:modified xsi:type="dcterms:W3CDTF">2018-06-01T23:11:00Z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ba818cfb-f0a4-3939-85e4-9dfda2853a2b</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