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DawnSys 融资报告与募资方案</w:t>
      </w:r>
    </w:p>
    <w:p>
      <w:pPr>
        <w:spacing w:after="120"/>
        <w:jc w:val="center"/>
      </w:pPr>
      <w:r>
        <w:t xml:space="preserve">面向机构投资人与董事会的融资口径整理</w:t>
      </w:r>
    </w:p>
    <w:p>
      <w:pPr>
        <w:spacing w:after="240"/>
        <w:jc w:val="center"/>
      </w:pPr>
      <w:r>
        <w:t xml:space="preserve">基于截至 2026-04-04 的公开资料与当前项目能力；本报告仅保留本地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报告定位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</w:pPr>
            <w:r>
              <w:t xml:space="preserve">按机构投资委员会口径整理 DawnSys 的融资逻辑、募资方案与执行计划。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核心判断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Dawn 最适合被定义为“智能眼镜时代的本地 Agent Runtime 与企业边缘执行层”，而不是先做重资产硬件公司。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推荐轮次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先做软件与合作硬件绑定的 Seed / Pre-A Bridge 融资，用 18 至 24 个月验证企业场景、边缘模型路由与行业化交付。</w:t>
            </w:r>
          </w:p>
        </w:tc>
      </w:tr>
    </w:tbl>
    <w:p>
      <w:pPr>
        <w:pStyle w:val="Heading1"/>
      </w:pPr>
      <w:r>
        <w:t xml:space="preserve">1. 执行摘要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Dawn 当前最值得资本支持的方向，不是从零做重资产智能眼镜硬件，而是成为智能眼镜时代的本地 Agent Runtime、模型路由层与企业级边缘执行系统。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项目已经具备少见的底层资产组合：本地优先运行时、多模型连接器、Gemma4 接入、原生 skills、审批与人工确认链路、Agent Card 与 Marketplace、以及中国本地协同平台接入能力。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从投资逻辑看，最佳做法是先按软件优先和合作硬件优先路线融资，用相对克制的资金完成产品标准化、设计伙伴验证与早期付费转化，再决定是否进入更重的硬件自有化阶段。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推荐本轮募集人民币 2000 万至 2500 万，目标支持 18 至 24 个月 runway，用于验证企业场景、完成 Android / AI Edge 连接器、推出 2 个以上行业技能包，并拿下 3 至 5 个付费试点。</w:t>
      </w:r>
    </w:p>
    <w:p>
      <w:pPr>
        <w:pStyle w:val="Heading1"/>
      </w:pPr>
      <w:r>
        <w:t xml:space="preserve">2. 项目定义与投资命题</w:t>
      </w:r>
    </w:p>
    <w:p>
      <w:pPr>
        <w:spacing w:after="100"/>
      </w:pPr>
      <w:r>
        <w:t xml:space="preserve">投资委员会应当如何定义 Dawn，决定了它的估值逻辑与融资结构。若把 Dawn 视为一个“智能眼镜品牌”或“硬件创业项目”，它将落入硬件资本密集、供应链复杂、毛利受限的叙事；若把 Dawn 定义为智能眼镜与边缘终端时代的本地 Agent Runtime、企业执行操作层与行业技能平台，则它更接近 enterprise AI infrastructure / edge agent platform 的估值框架。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项目本质是执行层，而不是单点模型层。它负责任务承接、模型路由、技能分发、审批治理和结果回写。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项目具备多终端延展性。桌面、本地节点、聊天通道、未来的智能眼镜或边缘终端，都可以共享同一运行时与策略层。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项目具备向企业收费的天然抓手。审批门禁、日志与审计、本地运行、安全与治理，都是企业愿意付费的能力。</w:t>
      </w:r>
    </w:p>
    <w:p>
      <w:pPr>
        <w:pStyle w:val="Heading1"/>
      </w:pPr>
      <w:r>
        <w:t xml:space="preserve">3. 当前资产基础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能力资产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投资意义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本地优先运行时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已形成 `dawn_core + dawn_node` 主线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说明项目不是单一模型包装，而是具备独立运行时与执行系统雏形。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模型连接器层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已支持云模型与本地模型，已接入 Gemma4/Ollama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证明项目具有模型无关性和边缘落地基础，不受单一供应商锁定。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技能与 Agent 层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原生 skills、Agent Card、Marketplace 已成型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未来可以形成技能分发、行业方案包和平台抽成的商业空间。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治理能力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具备审批、支付、人工确认与事件流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对企业部署与可审计自动化非常关键，是与消费级 AI 眼镜的重要分野。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中国本地渠道能力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已具备 QQ、飞书、钉钉、微信公众号等链路基础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利于切入中国企业协同环境，形成本地部署与本地平台联动优势。</w:t>
            </w:r>
          </w:p>
        </w:tc>
      </w:tr>
    </w:tbl>
    <w:p>
      <w:pPr>
        <w:spacing w:after="100"/>
      </w:pPr>
      <w:r>
        <w:t xml:space="preserve">这组资产组合的稀缺点在于：很多项目能调用模型，但不能执行；很多项目能展示 UI，但没有治理；很多项目能做边缘 demo，但不能把任务、技能、支付、审批和多通道接入统一进同一套系统。Dawn 已经具备这套统一架构的雏形。</w:t>
      </w:r>
    </w:p>
    <w:p>
      <w:pPr>
        <w:pStyle w:val="Heading1"/>
      </w:pPr>
      <w:r>
        <w:t xml:space="preserve">4. Why Now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外部信号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对 Dawn 的意义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2026-04-02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Google 发布 Gemma 4 edge 路线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Gemma 4 明确支持 Android AICore、Google AI Edge、mobile、desktop 与 edge devices，强化 Dawn 走本地智能体与眼镜边缘执行层的技术可信度。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2026-01-07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Android 发布 AI Glasses 设计指南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官方明确 AI glasses 应采取 Consent First、简短且不打扰、基于多模态上下文的代理模式，这与 Dawn 的审批与安全门禁能力天然匹配。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2026-03-31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Android XR 分发路径持续更新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AI glasses 的分发与生态仍处于早期窗口期，意味着 Dawn 现在切入更像基础设施抢位，而不是红海终端追赶。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2026-03-26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IDC 发布中国智能眼镜市场数据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2025 年中国智能眼镜出货 246.0 万台，同比增长 87.1%，全球出货 1477.3 万台，同比增长 44.2%；说明市场已经进入从尝鲜到放量前夕。</w:t>
            </w:r>
          </w:p>
        </w:tc>
      </w:tr>
    </w:tbl>
    <w:p>
      <w:pPr>
        <w:spacing w:after="100"/>
      </w:pPr>
      <w:r>
        <w:t xml:space="preserve">外部窗口与 Dawn 的内部资产在时间上形成了较好重叠：Gemma 4 和 Android XR 说明本地多模态智能体开始具备技术可行性，IDC 则显示市场需求正从概念验证走向出货验证。现在进入的意义，在于可以用软件和运行时先占位，再决定是否往更重的终端控制权延展。</w:t>
      </w:r>
    </w:p>
    <w:p>
      <w:pPr>
        <w:pStyle w:val="Heading1"/>
      </w:pPr>
      <w:r>
        <w:t xml:space="preserve">5. 市场与客户判断</w:t>
      </w:r>
    </w:p>
    <w:p>
      <w:pPr>
        <w:spacing w:after="100"/>
      </w:pPr>
      <w:r>
        <w:t xml:space="preserve">如果按消费电子逻辑切入，Dawn 会面对品牌、渠道和硬件产品定义压力；如果按企业边缘 AI 平台逻辑切入，客户会更关注效率提升、流程闭环、本地部署、审批治理和设备可控。基于当前能力，我建议优先选择企业和行业场景，而不是大众消费硬件市场。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优先客户一：制造、巡检、运维、外勤等需要边走边看边处理任务的团队。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优先客户二：企业协同、会议、内部知识助手和审批助手场景，尤其重视本地运行和中国协同渠道集成的组织。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优先客户三：希望绑定智能眼镜硬件但缺少企业软件、模型路由、行业方案和治理层的硬件合作方。</w:t>
      </w:r>
    </w:p>
    <w:p>
      <w:pPr>
        <w:spacing w:after="100"/>
      </w:pPr>
      <w:r>
        <w:t xml:space="preserve">内部 bottom-up 测算，而非外部市场研究：如果只聚焦中国初始 3 个行业，假设 3000 至 5000 个可服务部署单元、每单元年度软件与服务收入 15 万至 50 万人民币，则中期可服务收入空间约为 4.5 亿至 25 亿元人民币。这个估算是基于部署单元与定价的内部商业测算，不应视为外部行业报告口径。</w:t>
      </w:r>
    </w:p>
    <w:p>
      <w:pPr>
        <w:pStyle w:val="Heading1"/>
      </w:pPr>
      <w:r>
        <w:t xml:space="preserve">6. 产品定位与竞争差异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相对于硬件厂商：Dawn 的优势不在镜框、光学或供应链，而在本地运行时、企业治理、模型路由和技能可运营能力。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相对于聊天机器人或简单模型封装：Dawn 可以把任务从输入一路打通到技能、审批、执行与回写，而不是停留在问答层。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相对于单一模型平台：Dawn 已经具备多模型、多连接器与本地 Gemma 的统一接入能力，未来可平滑接到 Android AICore、LiteRT-LM 和 FunctionGemma。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相对于纯云端 agent：Dawn 更适合本地 first、弱网、隐私敏感、可审计和低延迟场景。</w:t>
      </w:r>
    </w:p>
    <w:p>
      <w:pPr>
        <w:pStyle w:val="Heading1"/>
      </w:pPr>
      <w:r>
        <w:t xml:space="preserve">7. 商业模式与单位经济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收入项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建议报价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平台订阅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15 万至 30 万 / 客户 / 年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面向本地运行时、模型路由、审批治理、设备管理和日志审计。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行业技能包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8 万至 25 万 / 包 / 年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围绕巡检、外勤、会议、知识助手、审批助手等高频场景形成标准包。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部署与集成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10 万至 80 万 / 项目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作为首年落地收入，后续逐步降低对一次性收入依赖。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私有化与合规模块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10 万至 50 万 / 年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适用于对日志、数据留存、审批链、设备策略有更高要求的企业。</w:t>
            </w:r>
          </w:p>
        </w:tc>
      </w:tr>
    </w:tbl>
    <w:p>
      <w:pPr>
        <w:spacing w:after="100"/>
      </w:pPr>
      <w:r>
        <w:t xml:space="preserve">商业上应坚持三点：第一，硬件收入不是核心，最多作为 pass-through 或合作分成；第二，要尽快把收入从项目制向订阅制迁移；第三，要把行业 skills 和治理能力标准化，避免团队长期陷入高比例定制开发。</w:t>
      </w:r>
    </w:p>
    <w:p>
      <w:pPr>
        <w:pStyle w:val="Heading1"/>
      </w:pPr>
      <w:r>
        <w:t xml:space="preserve">8. 推荐融资方案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募资规模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适用情形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A. 软件优先 Seed / Bridge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2000 万至 2500 万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合作硬件路线，不自建量产硬件，不做大额库存。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推荐。能把资本集中在产品、模型连接器、行业化交付与客户验证上。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B. 硬件重投入 Pre-A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4000 万至 6000 万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同步做自有硬件、模具、库存和供应链控制。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不推荐当前采用。会显著拉高 burn rate，并在 PMF 未验证前稀释软件平台价值。</w:t>
            </w:r>
          </w:p>
        </w:tc>
      </w:tr>
    </w:tbl>
    <w:p>
      <w:pPr>
        <w:spacing w:after="100"/>
      </w:pPr>
      <w:r>
        <w:t xml:space="preserve">推荐采用方案 A。若公司当前仍处于强技术验证阶段，可以优先考虑 SAFE / 可转债 / 可转优先股结构，减少过早锁死估值带来的谈判摩擦；若团队已有较强标杆客户和产业合作背书，则可直接做股权轮。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推荐募资规模：人民币 2000 万至 2500 万。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推荐稀释区间：12% 至 18%，以换取 18 至 24 个月 runway。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推荐投资人结构：产业协同投资人 + 企业软件型基金 + AI / edge 技术基金，避免单纯硬件制造资金主导。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不建议本轮承担大额硬件库存、模具和供应链资本开支。</w:t>
      </w:r>
    </w:p>
    <w:p>
      <w:pPr>
        <w:pStyle w:val="Heading1"/>
      </w:pPr>
      <w:r>
        <w:t xml:space="preserve">9. 资金用途与 24 个月里程碑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资金用途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占比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目的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核心研发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40%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完善边缘节点、Android/AI Edge 连接器、行业 skills、模型路由和治理能力。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产品化与交付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20%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打磨眼镜端参考体验、部署工具、日志与运维能力，降低试点实施成本。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设计伙伴与试点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15%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用于行业验证、POC 共创、适配合作硬件与客户环境接入。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销售与生态合作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15%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建立早期商业化团队、行业 BD、硬件伙伴与解决方案伙伴关系。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安全、合规与运营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10%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覆盖隐私、审批、企业接入、法务与日常运营支出。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目标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里程碑定义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0-6 个月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完成产品化 PoC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形成眼镜端参考交互、手机/边缘节点运行时、Gemma4 与至少一条 Android/AI Edge 正式连接器路线。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6-12 个月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完成 3 至 5 个付费试点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在制造、巡检、企业协同或外勤场景拿到付费 pilot，验证愿意为软件与行业包买单。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12-18 个月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形成标准方案包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沉淀至少 2 个可复制行业技能包与 1 个标准部署方法，降低定制化比重。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18-24 个月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触发下一轮融资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达到较清晰的 ARR 拐点、客户续费意愿和 2 家以上硬件/OS 合作方认证或深度绑定。</w:t>
            </w:r>
          </w:p>
        </w:tc>
      </w:tr>
    </w:tbl>
    <w:p>
      <w:pPr>
        <w:pStyle w:val="Heading1"/>
      </w:pPr>
      <w:r>
        <w:t xml:space="preserve">10. 经营预测与下一轮融资触发条件</w:t>
      </w:r>
    </w:p>
    <w:p>
      <w:pPr>
        <w:spacing w:after="100"/>
      </w:pPr>
      <w:r>
        <w:t xml:space="preserve">下表为管理层规划口径，不是已签合同或审计预测。其核心意义在于说明：项目在 24 个月内能否把收入结构从试点和交付，逐步转向可复制订阅和行业技能包。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700"/>
        <w:gridCol w:w="2550"/>
        <w:gridCol w:w="2550"/>
        <w:gridCol w:w="256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2026E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2027E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2F8" w:val="clear"/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</w:rPr>
              <w:t xml:space="preserve">2028E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付费客户数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3-5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15-20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40-60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年度收入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300 万至 500 万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1200 万至 1800 万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人民币 3500 万至 5000 万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经常性收入占比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35%-45%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55%-65%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70%-80%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综合毛利率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60%-68%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70%-75%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75%-80%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关键驱动因素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付费试点与交付收入</w:t>
            </w:r>
          </w:p>
        </w:tc>
        <w:tc>
          <w:tcPr>
            <w:tcW w:type="dxa" w:w="2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平台订阅和技能包复制</w:t>
            </w:r>
          </w:p>
        </w:tc>
        <w:tc>
          <w:tcPr>
            <w:tcW w:type="dxa" w:w="2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100"/>
            </w:pPr>
            <w:r>
              <w:t xml:space="preserve">标准化部署、续费与合作渠道放大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下一轮 Pre-A 或 A 轮的理想触发条件：3 至 5 个标杆客户、年度经常性收入趋势明显、至少 2 个标准行业包、以及 2 家以上硬件或平台方深度合作。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若 12 个月后仍高度依赖单次项目收入且客户复购弱，则应重新评估产品定位或收缩硬件叙事。</w:t>
      </w:r>
    </w:p>
    <w:p>
      <w:pPr>
        <w:pStyle w:val="Heading1"/>
      </w:pPr>
      <w:r>
        <w:t xml:space="preserve">11. 关键风险与对冲建议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风险一：过早进入硬件制造。对冲建议：坚持合作硬件和 reference design 路线，把资本优先投入软件平台与客户验证。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风险二：项目变成高定制服务公司。对冲建议：从第一天就把巡检、外勤、审批、会议等场景做成标准行业技能包。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风险三：技术路线碎片化。对冲建议：所有本地模型与边缘模型都必须经过统一的 `dawn-model-router` 与连接器层，不让前线项目绑死单一路线。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风险四：隐私与社会接受度。对冲建议：把 Consent First、审批门禁、最小化采集和显式触发作为产品级原则，而不是文档承诺。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风险五：商业节奏过慢。对冲建议：优先选择付款能力强、部署路径清晰、场景闭环明显的企业客户，不要一开始做大众消费爆品叙事。</w:t>
      </w:r>
    </w:p>
    <w:p>
      <w:pPr>
        <w:pStyle w:val="Heading1"/>
      </w:pPr>
      <w:r>
        <w:t xml:space="preserve">12. 最终投资建议</w:t>
      </w:r>
    </w:p>
    <w:p>
      <w:pPr>
        <w:spacing w:after="100"/>
      </w:pPr>
      <w:r>
        <w:t xml:space="preserve">从投资角度看，我会把 Dawn 归类为“企业级本地智能体运行时与智能眼镜边缘执行层”的早期项目。它的最大价值，在于提前占据了未来可穿戴智能体时代的执行、治理和本地路由层，而不是仅仅追求一个会说话的硬件终端。基于当前阶段，最优募资方案是做一轮克制的、软件优先的 Seed / Bridge 轮，以较低资本密度完成产品标准化、设计伙伴验证和付费客户突破。只要团队能在未来 12 至 18 个月证明可复制的行业化部署与经常性收入，它就有机会从“技术项目”升级为“平台型基础设施公司”。</w:t>
      </w:r>
    </w:p>
    <w:p>
      <w:pPr>
        <w:pStyle w:val="Heading1"/>
      </w:pPr>
      <w:r>
        <w:t xml:space="preserve">13. 参考资料</w:t>
      </w:r>
    </w:p>
    <w:p>
      <w:pPr>
        <w:spacing w:after="70"/>
      </w:pPr>
      <w:r>
        <w:t xml:space="preserve">Google Developers Blog: Bring state-of-the-art agentic skills to the edge with Gemma 4：</w:t>
      </w:r>
      <w:hyperlink w:history="1" r:id="rIdq0ftrwkknujm6wxrau1dj">
        <w:r>
          <w:rPr>
            <w:rStyle w:val="Hyperlink"/>
            <w:u w:val="single"/>
          </w:rPr>
          <w:t xml:space="preserve">https://developers.googleblog.com/bring-state-of-the-art-agentic-skills-to-the-edge-with-gemma-4/</w:t>
        </w:r>
      </w:hyperlink>
      <w:r>
        <w:t xml:space="preserve">；发布日期 2026-04-02；用于支持 Gemma 4 在 Android AICore、AI Edge、mobile 和 edge devices 的官方落地判断。</w:t>
      </w:r>
    </w:p>
    <w:p>
      <w:pPr>
        <w:spacing w:after="70"/>
      </w:pPr>
      <w:r>
        <w:t xml:space="preserve">Google AI for Developers: Deploy Gemma on mobile devices：</w:t>
      </w:r>
      <w:hyperlink w:history="1" r:id="rId9eobfgxukfqx0c6zt1reg">
        <w:r>
          <w:rPr>
            <w:rStyle w:val="Hyperlink"/>
            <w:u w:val="single"/>
          </w:rPr>
          <w:t xml:space="preserve">https://ai.google.dev/gemma/docs/integrations/mobile</w:t>
        </w:r>
      </w:hyperlink>
      <w:r>
        <w:t xml:space="preserve">；用于支持 Gemma 在移动端的官方部署路径。</w:t>
      </w:r>
    </w:p>
    <w:p>
      <w:pPr>
        <w:spacing w:after="70"/>
      </w:pPr>
      <w:r>
        <w:t xml:space="preserve">Android Developers: AI in your app for AI Glasses：</w:t>
      </w:r>
      <w:hyperlink w:history="1" r:id="rIddbdgkdway8vb8c4egvlea">
        <w:r>
          <w:rPr>
            <w:rStyle w:val="Hyperlink"/>
            <w:u w:val="single"/>
          </w:rPr>
          <w:t xml:space="preserve">https://developer.android.com/design/ui/ai-glasses/guides/surfaces/ai-in-your-app</w:t>
        </w:r>
      </w:hyperlink>
      <w:r>
        <w:t xml:space="preserve">；最后更新 2026-01-07 UTC；用于支持 Consent First、最小化采集、简短且不打扰的产品原则。</w:t>
      </w:r>
    </w:p>
    <w:p>
      <w:pPr>
        <w:spacing w:after="70"/>
      </w:pPr>
      <w:r>
        <w:t xml:space="preserve">Android Developers: Use a projected context to access AI glasses hardware：</w:t>
      </w:r>
      <w:hyperlink w:history="1" r:id="rIdama2jkvknskhyniyr0tg7">
        <w:r>
          <w:rPr>
            <w:rStyle w:val="Hyperlink"/>
            <w:u w:val="single"/>
          </w:rPr>
          <w:t xml:space="preserve">https://developer.android.com/develop/xr/jetpack-xr-sdk/access-hardware-projected-context</w:t>
        </w:r>
      </w:hyperlink>
      <w:r>
        <w:t xml:space="preserve">；用于支持“眼镜端 + 手机 projected context + 本地音频/相机硬件访问”的 split-compute 路线。</w:t>
      </w:r>
    </w:p>
    <w:p>
      <w:pPr>
        <w:spacing w:after="70"/>
      </w:pPr>
      <w:r>
        <w:t xml:space="preserve">Android Developers: Package and distribute apps for Android XR：</w:t>
      </w:r>
      <w:hyperlink w:history="1" r:id="rIduwgscrui03uxremlryz_p">
        <w:r>
          <w:rPr>
            <w:rStyle w:val="Hyperlink"/>
            <w:u w:val="single"/>
          </w:rPr>
          <w:t xml:space="preserve">https://developer.android.com/develop/xr/package-and-distribute</w:t>
        </w:r>
      </w:hyperlink>
      <w:r>
        <w:t xml:space="preserve">；最后更新 2026-03-31 UTC；用于支持 Android XR 仍处于生态窗口期的判断。</w:t>
      </w:r>
    </w:p>
    <w:p>
      <w:pPr>
        <w:spacing w:after="70"/>
      </w:pPr>
      <w:r>
        <w:t xml:space="preserve">IDC Blog: 2025 年中国智能眼镜市场同比增长 87.1%：</w:t>
      </w:r>
      <w:hyperlink w:history="1" r:id="rIdhw5wsilr1tvox9g3mwh9c">
        <w:r>
          <w:rPr>
            <w:rStyle w:val="Hyperlink"/>
            <w:u w:val="single"/>
          </w:rPr>
          <w:t xml:space="preserve">https://www.idc.com/resource-center/blog/2025%E5%B9%B4%E4%B8%AD%E5%9B%BD%E6%99%BA%E8%83%BD%E7%9C%BC%E9%95%9C%E5%B8%82%E5%9C%BA%E5%90%8C%E6%AF%94%E5%A2%9E%E9%95%BF87-1%EF%BC%8C%E8%A1%8C%E4%B8%9A%E4%BB%8E%E7%A1%AC%E4%BB%B6%E9%93%BA%E9%99%88/</w:t>
        </w:r>
      </w:hyperlink>
      <w:r>
        <w:t xml:space="preserve">；发布日期 2026-03-26；用于支持 2025 年中国与全球智能眼镜出货量增速。</w:t>
      </w:r>
    </w:p>
    <w:p>
      <w:pPr>
        <w:spacing w:after="70"/>
      </w:pPr>
      <w:r>
        <w:t xml:space="preserve">Google AI for Developers: FunctionGemma model overview：</w:t>
      </w:r>
      <w:hyperlink w:history="1" r:id="rIdnxcvagswagiyyyo_8jvr1">
        <w:r>
          <w:rPr>
            <w:rStyle w:val="Hyperlink"/>
            <w:u w:val="single"/>
          </w:rPr>
          <w:t xml:space="preserve">https://ai.google.dev/gemma/docs/functiongemma</w:t>
        </w:r>
      </w:hyperlink>
      <w:r>
        <w:t xml:space="preserve">；用于支持小模型承担本地动作路由与工具调用的产品规划。</w:t>
      </w:r>
    </w:p>
    <w:p>
      <w:pPr>
        <w:spacing w:after="70"/>
      </w:pPr>
      <w:r>
        <w:t xml:space="preserve">XREAL Official: Project Aura：</w:t>
      </w:r>
      <w:hyperlink w:history="1" r:id="rIdjrmzc7yhoxszojbsw4t7h">
        <w:r>
          <w:rPr>
            <w:rStyle w:val="Hyperlink"/>
            <w:u w:val="single"/>
          </w:rPr>
          <w:t xml:space="preserve">https://www.xreal.com/en/aura</w:t>
        </w:r>
      </w:hyperlink>
      <w:r>
        <w:t xml:space="preserve">；用于支持 Android XR 智能眼镜合作硬件参考路线。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DawnSys 融资报告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F172A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0ftrwkknujm6wxrau1dj" Type="http://schemas.openxmlformats.org/officeDocument/2006/relationships/hyperlink" Target="https://developers.googleblog.com/bring-state-of-the-art-agentic-skills-to-the-edge-with-gemma-4/" TargetMode="External"/><Relationship Id="rId9eobfgxukfqx0c6zt1reg" Type="http://schemas.openxmlformats.org/officeDocument/2006/relationships/hyperlink" Target="https://ai.google.dev/gemma/docs/integrations/mobile" TargetMode="External"/><Relationship Id="rIddbdgkdway8vb8c4egvlea" Type="http://schemas.openxmlformats.org/officeDocument/2006/relationships/hyperlink" Target="https://developer.android.com/design/ui/ai-glasses/guides/surfaces/ai-in-your-app" TargetMode="External"/><Relationship Id="rIdama2jkvknskhyniyr0tg7" Type="http://schemas.openxmlformats.org/officeDocument/2006/relationships/hyperlink" Target="https://developer.android.com/develop/xr/jetpack-xr-sdk/access-hardware-projected-context" TargetMode="External"/><Relationship Id="rIduwgscrui03uxremlryz_p" Type="http://schemas.openxmlformats.org/officeDocument/2006/relationships/hyperlink" Target="https://developer.android.com/develop/xr/package-and-distribute" TargetMode="External"/><Relationship Id="rIdhw5wsilr1tvox9g3mwh9c" Type="http://schemas.openxmlformats.org/officeDocument/2006/relationships/hyperlink" Target="https://www.idc.com/resource-center/blog/2025%E5%B9%B4%E4%B8%AD%E5%9B%BD%E6%99%BA%E8%83%BD%E7%9C%BC%E9%95%9C%E5%B8%82%E5%9C%BA%E5%90%8C%E6%AF%94%E5%A2%9E%E9%95%BF87-1%EF%BC%8C%E8%A1%8C%E4%B8%9A%E4%BB%8E%E7%A1%AC%E4%BB%B6%E9%93%BA%E9%99%88/" TargetMode="External"/><Relationship Id="rIdnxcvagswagiyyyo_8jvr1" Type="http://schemas.openxmlformats.org/officeDocument/2006/relationships/hyperlink" Target="https://ai.google.dev/gemma/docs/functiongemma" TargetMode="External"/><Relationship Id="rIdjrmzc7yhoxszojbsw4t7h" Type="http://schemas.openxmlformats.org/officeDocument/2006/relationships/hyperlink" Target="https://www.xreal.com/en/aura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2026-04-04T04:59:16.929Z</dcterms:created>
  <dcterms:modified xsi:type="dcterms:W3CDTF">2026-04-04T04:59:16.930Z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