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COLD-26 food storage</w:t>
      </w:r>
    </w:p>
    <w:p>
      <w:r>
        <w:t xml:space="preserve">Artificial M7c corpus. No rule in this document describes a real business.</w:t>
      </w:r>
    </w:p>
    <w:p>
      <w:r>
        <w:t xml:space="preserve">Keep food stock between 2 and 6 degrees C.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The coordinator records the applicable procedure in the local handbook. Staff check the scope of this edition before opening a case and keep the administrative record with the relevant team.</w:t>
      </w:r>
    </w:p>
    <w:p>
      <w:r>
        <w:t xml:space="preserve">This fictional procedure explains a limited operational task. The desk reviews supporting material, records the request and forwards any unresolved question through its normal internal workflow.</w:t>
      </w:r>
    </w:p>
    <w:p>
      <w:r>
        <w:t xml:space="preserve">Employees identify the appropriate category and retain the case reference. A supervisor checks that the team has selected the correct edition and that the information remains consistent.</w:t>
      </w:r>
    </w:p>
    <w:p>
      <w:r>
        <w:t xml:space="preserve">Calibrate its sensor every 14 days.</w:t>
      </w:r>
    </w:p>
    <w:p>
      <w:r>
        <w:t xml:space="preserve">End of reference document.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