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Vectorix restore acceptance: synthetic bilingual source, version one.</w:t>
      </w:r>
    </w:p>
    <w:p>
      <w:r>
        <w:t xml:space="preserve">Le port Azur protège les dauphins. La marée du matin est mesurée au phare.</w:t>
      </w:r>
    </w:p>
    <w:p>
      <w:r>
        <w:t xml:space="preserve">Azure harbor records morning tides and keeps quiet boats near the lighthouse.</w:t>
      </w:r>
    </w:p>
    <w:p>
      <w:r>
        <w:t xml:space="preserve">Le verger Cerise utilise un arrosage solaire. Les poires restent dans une cave fraîche.</w:t>
      </w:r>
    </w:p>
    <w:p>
      <w:r>
        <w:t xml:space="preserve">Cherry orchard waters trees with solar pumps and stores pears in a cool stone shed.</w:t>
      </w:r>
    </w:p>
    <w:p>
      <w:r>
        <w:t xml:space="preserve">La bibliothèque conserve les originaux indépendamment des vecteurs et des index.</w:t>
      </w:r>
    </w:p>
    <w:p>
      <w:r>
        <w:t xml:space="preserve">The private library keeps original documents separate from derived searchable vectors.</w:t>
      </w:r>
    </w:p>
    <w:p>
      <w:r>
        <w:t xml:space="preserve">VECTORIX_RESTORE_DOCX is the final controlled marker.</w:t>
      </w:r>
    </w:p>
  </w:body>
</w:document>
</file>