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961" w:rsidRPr="00840869" w:rsidRDefault="00406961" w:rsidP="00406961">
      <w:pPr>
        <w:jc w:val="center"/>
        <w:rPr>
          <w:rFonts w:ascii="Verdana" w:hAnsi="Verdana"/>
          <w:b/>
          <w:lang w:val="fr-CA"/>
        </w:rPr>
      </w:pPr>
      <w:bookmarkStart w:id="0" w:name="_Hlk526080690"/>
      <w:bookmarkEnd w:id="0"/>
      <w:r w:rsidRPr="00840869">
        <w:rPr>
          <w:rFonts w:ascii="Verdana" w:hAnsi="Verdana"/>
          <w:noProof/>
          <w:lang w:val="fr-CA" w:eastAsia="fr-CA"/>
        </w:rPr>
        <w:drawing>
          <wp:inline distT="0" distB="0" distL="0" distR="0" wp14:anchorId="05089135" wp14:editId="34B76357">
            <wp:extent cx="1981200" cy="952500"/>
            <wp:effectExtent l="0" t="0" r="0" b="0"/>
            <wp:docPr id="3" name="Image 3"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ressources.polymtl.ca/img2/logo_hautP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952500"/>
                    </a:xfrm>
                    <a:prstGeom prst="rect">
                      <a:avLst/>
                    </a:prstGeom>
                    <a:noFill/>
                    <a:ln>
                      <a:noFill/>
                    </a:ln>
                  </pic:spPr>
                </pic:pic>
              </a:graphicData>
            </a:graphic>
          </wp:inline>
        </w:drawing>
      </w: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9B29AA" w:rsidP="00406961">
      <w:pPr>
        <w:jc w:val="center"/>
        <w:rPr>
          <w:rFonts w:ascii="Verdana" w:hAnsi="Verdana"/>
          <w:b/>
          <w:lang w:val="fr-CA"/>
        </w:rPr>
      </w:pPr>
      <w:r>
        <w:rPr>
          <w:rFonts w:ascii="Verdana" w:hAnsi="Verdana"/>
          <w:b/>
          <w:lang w:val="fr-CA"/>
        </w:rPr>
        <w:t>INF8480</w:t>
      </w:r>
      <w:r w:rsidR="00406961" w:rsidRPr="00840869">
        <w:rPr>
          <w:rFonts w:ascii="Verdana" w:hAnsi="Verdana"/>
          <w:b/>
          <w:lang w:val="fr-CA"/>
        </w:rPr>
        <w:t xml:space="preserve"> – </w:t>
      </w:r>
      <w:r>
        <w:rPr>
          <w:rFonts w:ascii="Verdana" w:hAnsi="Verdana"/>
          <w:b/>
          <w:lang w:val="fr-CA"/>
        </w:rPr>
        <w:t>Systèmes répartis et infonuagique</w:t>
      </w: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r w:rsidRPr="00840869">
        <w:rPr>
          <w:rFonts w:ascii="Verdana" w:hAnsi="Verdana"/>
          <w:b/>
          <w:lang w:val="fr-CA"/>
        </w:rPr>
        <w:t>Hiver 2019</w:t>
      </w: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r w:rsidRPr="00840869">
        <w:rPr>
          <w:rFonts w:ascii="Verdana" w:hAnsi="Verdana"/>
          <w:b/>
          <w:lang w:val="fr-CA"/>
        </w:rPr>
        <w:t>TP1</w:t>
      </w:r>
    </w:p>
    <w:p w:rsidR="00406961" w:rsidRPr="00840869" w:rsidRDefault="00613535" w:rsidP="00406961">
      <w:pPr>
        <w:jc w:val="center"/>
        <w:rPr>
          <w:rFonts w:ascii="Verdana" w:hAnsi="Verdana"/>
          <w:b/>
          <w:lang w:val="fr-CA"/>
        </w:rPr>
      </w:pPr>
      <w:r>
        <w:rPr>
          <w:rFonts w:ascii="Verdana" w:hAnsi="Verdana"/>
          <w:b/>
          <w:lang w:val="fr-CA"/>
        </w:rPr>
        <w:t>Appels de méthodes à distance</w:t>
      </w:r>
    </w:p>
    <w:p w:rsidR="00406961" w:rsidRPr="00840869" w:rsidRDefault="00406961" w:rsidP="00406961">
      <w:pP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r w:rsidRPr="00840869">
        <w:rPr>
          <w:rFonts w:ascii="Verdana" w:hAnsi="Verdana"/>
          <w:b/>
          <w:lang w:val="fr-CA"/>
        </w:rPr>
        <w:t xml:space="preserve">Groupe </w:t>
      </w:r>
      <w:r w:rsidR="00613535">
        <w:rPr>
          <w:rFonts w:ascii="Verdana" w:hAnsi="Verdana"/>
          <w:b/>
          <w:lang w:val="fr-CA"/>
        </w:rPr>
        <w:t>2</w:t>
      </w:r>
    </w:p>
    <w:p w:rsidR="00406961" w:rsidRDefault="00406961" w:rsidP="00406961">
      <w:pPr>
        <w:jc w:val="center"/>
        <w:rPr>
          <w:rFonts w:ascii="Verdana" w:hAnsi="Verdana"/>
          <w:b/>
          <w:lang w:val="fr-CA"/>
        </w:rPr>
      </w:pPr>
    </w:p>
    <w:p w:rsidR="0013289B" w:rsidRPr="00840869" w:rsidRDefault="0013289B" w:rsidP="0013289B">
      <w:pPr>
        <w:jc w:val="center"/>
        <w:rPr>
          <w:rFonts w:ascii="Verdana" w:hAnsi="Verdana"/>
          <w:b/>
          <w:lang w:val="fr-CA"/>
        </w:rPr>
      </w:pPr>
      <w:r>
        <w:rPr>
          <w:rFonts w:ascii="Verdana" w:hAnsi="Verdana"/>
          <w:b/>
          <w:lang w:val="fr-CA"/>
        </w:rPr>
        <w:t>1791314 – Simon Nadeau</w:t>
      </w:r>
    </w:p>
    <w:p w:rsidR="00406961" w:rsidRPr="00840869" w:rsidRDefault="00406961" w:rsidP="00406961">
      <w:pPr>
        <w:jc w:val="center"/>
        <w:rPr>
          <w:rFonts w:ascii="Verdana" w:hAnsi="Verdana"/>
          <w:b/>
          <w:lang w:val="fr-CA"/>
        </w:rPr>
      </w:pPr>
      <w:r w:rsidRPr="00840869">
        <w:rPr>
          <w:rFonts w:ascii="Verdana" w:hAnsi="Verdana"/>
          <w:b/>
          <w:lang w:val="fr-CA"/>
        </w:rPr>
        <w:t>1846732 – Mathieu Châteauvert</w:t>
      </w: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r w:rsidRPr="00840869">
        <w:rPr>
          <w:rFonts w:ascii="Verdana" w:hAnsi="Verdana"/>
          <w:b/>
          <w:lang w:val="fr-CA"/>
        </w:rPr>
        <w:t xml:space="preserve">Soumis à : </w:t>
      </w:r>
      <w:r w:rsidR="00CA1E65">
        <w:rPr>
          <w:rFonts w:ascii="Verdana" w:hAnsi="Verdana"/>
          <w:b/>
          <w:lang w:val="fr-CA"/>
        </w:rPr>
        <w:t>Daniel Capelo &amp; Adel Belkhiri</w:t>
      </w: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406961" w:rsidP="00406961">
      <w:pPr>
        <w:jc w:val="center"/>
        <w:rPr>
          <w:rFonts w:ascii="Verdana" w:hAnsi="Verdana"/>
          <w:b/>
          <w:lang w:val="fr-CA"/>
        </w:rPr>
      </w:pPr>
    </w:p>
    <w:p w:rsidR="00406961" w:rsidRPr="00840869" w:rsidRDefault="00696D42" w:rsidP="00406961">
      <w:pPr>
        <w:jc w:val="center"/>
        <w:rPr>
          <w:rFonts w:ascii="Arial" w:hAnsi="Arial" w:cs="Arial"/>
          <w:lang w:val="fr-CA"/>
        </w:rPr>
      </w:pPr>
      <w:r>
        <w:rPr>
          <w:rFonts w:ascii="Verdana" w:hAnsi="Verdana"/>
          <w:b/>
          <w:lang w:val="fr-CA"/>
        </w:rPr>
        <w:t>11</w:t>
      </w:r>
      <w:r w:rsidR="00406961" w:rsidRPr="00840869">
        <w:rPr>
          <w:rFonts w:ascii="Verdana" w:hAnsi="Verdana"/>
          <w:b/>
          <w:lang w:val="fr-CA"/>
        </w:rPr>
        <w:t>/02/2019</w:t>
      </w:r>
    </w:p>
    <w:p w:rsidR="00406961" w:rsidRPr="00840869" w:rsidRDefault="00406961" w:rsidP="00406961">
      <w:pPr>
        <w:pStyle w:val="Standard"/>
        <w:jc w:val="both"/>
        <w:rPr>
          <w:lang w:val="fr-CA"/>
        </w:rPr>
      </w:pPr>
    </w:p>
    <w:p w:rsidR="00AE3389" w:rsidRDefault="00AE3389">
      <w:pPr>
        <w:rPr>
          <w:lang w:val="fr-CA"/>
        </w:rPr>
      </w:pPr>
    </w:p>
    <w:p w:rsidR="00AE3389" w:rsidRPr="00AE3389" w:rsidRDefault="00AE3389">
      <w:pPr>
        <w:rPr>
          <w:u w:val="single"/>
          <w:lang w:val="fr-CA"/>
        </w:rPr>
      </w:pPr>
      <w:r w:rsidRPr="00AE3389">
        <w:rPr>
          <w:u w:val="single"/>
          <w:lang w:val="fr-CA"/>
        </w:rPr>
        <w:lastRenderedPageBreak/>
        <w:t>Q1. Commenter et expliquer les résultats obtenus.</w:t>
      </w:r>
    </w:p>
    <w:p w:rsidR="00AE3389" w:rsidRDefault="00AE3389">
      <w:pPr>
        <w:rPr>
          <w:lang w:val="fr-CA"/>
        </w:rPr>
      </w:pPr>
    </w:p>
    <w:p w:rsidR="006A673D" w:rsidRDefault="00AE3389" w:rsidP="006A673D">
      <w:pPr>
        <w:ind w:firstLine="708"/>
        <w:jc w:val="both"/>
        <w:rPr>
          <w:lang w:val="fr-CA"/>
        </w:rPr>
      </w:pPr>
      <w:r>
        <w:rPr>
          <w:lang w:val="fr-CA"/>
        </w:rPr>
        <w:t>Les résultats obtenus pour l’appel normal sont irréguliers. En effet, en regardant le graphique 1, on remarque clairement qu’il n’y a pas de tendance particulière, mais que les appels s’effectue</w:t>
      </w:r>
      <w:r w:rsidR="00507389">
        <w:rPr>
          <w:lang w:val="fr-CA"/>
        </w:rPr>
        <w:t>nt</w:t>
      </w:r>
      <w:r>
        <w:rPr>
          <w:lang w:val="fr-CA"/>
        </w:rPr>
        <w:t xml:space="preserve"> tous relativement rapidement. </w:t>
      </w:r>
      <w:r w:rsidR="00507389">
        <w:rPr>
          <w:lang w:val="fr-CA"/>
        </w:rPr>
        <w:t>Les latences se situent tous autour de 2500 nanosecondes.</w:t>
      </w:r>
    </w:p>
    <w:p w:rsidR="00AE3389" w:rsidRDefault="00AE3389">
      <w:pPr>
        <w:rPr>
          <w:lang w:val="fr-CA"/>
        </w:rPr>
      </w:pPr>
    </w:p>
    <w:p w:rsidR="00AE3389" w:rsidRDefault="00AE3389" w:rsidP="00AE3389">
      <w:pPr>
        <w:jc w:val="center"/>
        <w:rPr>
          <w:lang w:val="fr-CA"/>
        </w:rPr>
      </w:pPr>
      <w:r>
        <w:rPr>
          <w:noProof/>
        </w:rPr>
        <w:drawing>
          <wp:inline distT="0" distB="0" distL="0" distR="0" wp14:anchorId="3E6AF5D6" wp14:editId="69E419C8">
            <wp:extent cx="4335519" cy="2325524"/>
            <wp:effectExtent l="0" t="0" r="8255" b="11430"/>
            <wp:docPr id="1" name="Graphique 1">
              <a:extLst xmlns:a="http://schemas.openxmlformats.org/drawingml/2006/main">
                <a:ext uri="{FF2B5EF4-FFF2-40B4-BE49-F238E27FC236}">
                  <a16:creationId xmlns:a16="http://schemas.microsoft.com/office/drawing/2014/main" id="{107C3E5E-E61C-4045-A06C-237F973D68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A673D" w:rsidRDefault="006A673D" w:rsidP="006A673D">
      <w:pPr>
        <w:jc w:val="both"/>
        <w:rPr>
          <w:lang w:val="fr-CA"/>
        </w:rPr>
      </w:pPr>
    </w:p>
    <w:p w:rsidR="006A673D" w:rsidRDefault="006A673D" w:rsidP="006A673D">
      <w:pPr>
        <w:jc w:val="both"/>
        <w:rPr>
          <w:lang w:val="fr-CA"/>
        </w:rPr>
      </w:pPr>
      <w:r>
        <w:rPr>
          <w:lang w:val="fr-CA"/>
        </w:rPr>
        <w:tab/>
        <w:t xml:space="preserve">Les résultats obtenus pour les appels RMI local et distant suivent une tendance </w:t>
      </w:r>
      <w:r w:rsidR="00AF6C17">
        <w:rPr>
          <w:lang w:val="fr-CA"/>
        </w:rPr>
        <w:t>claire</w:t>
      </w:r>
      <w:r>
        <w:rPr>
          <w:lang w:val="fr-CA"/>
        </w:rPr>
        <w:t xml:space="preserve">. En effet, la latence des appels est de plus en plus élevée au fur et à mesure que la taille des arguments augmente. Bien sûr, </w:t>
      </w:r>
      <w:r w:rsidR="00AF6C17">
        <w:rPr>
          <w:lang w:val="fr-CA"/>
        </w:rPr>
        <w:t>l’échelle logarithmique utilisée fait en sorte qu’il est difficile de déterminer avec précision la relation entre la taille des arguments et la latence des appels. Comme on peut le voir plus clairement sur le graphique 4, la courbe suit une tendance qui est plutôt linéaire.</w:t>
      </w:r>
    </w:p>
    <w:p w:rsidR="00AF6C17" w:rsidRDefault="00AF6C17" w:rsidP="006A673D">
      <w:pPr>
        <w:jc w:val="both"/>
        <w:rPr>
          <w:lang w:val="fr-CA"/>
        </w:rPr>
      </w:pPr>
    </w:p>
    <w:p w:rsidR="006A673D" w:rsidRDefault="006A673D" w:rsidP="006A673D">
      <w:pPr>
        <w:jc w:val="center"/>
        <w:rPr>
          <w:lang w:val="fr-CA"/>
        </w:rPr>
      </w:pPr>
      <w:r>
        <w:rPr>
          <w:noProof/>
        </w:rPr>
        <w:drawing>
          <wp:inline distT="0" distB="0" distL="0" distR="0" wp14:anchorId="7A03CDB0" wp14:editId="5D3A5FBD">
            <wp:extent cx="4802736" cy="2497508"/>
            <wp:effectExtent l="0" t="0" r="10795" b="17145"/>
            <wp:docPr id="2" name="Graphique 2">
              <a:extLst xmlns:a="http://schemas.openxmlformats.org/drawingml/2006/main">
                <a:ext uri="{FF2B5EF4-FFF2-40B4-BE49-F238E27FC236}">
                  <a16:creationId xmlns:a16="http://schemas.microsoft.com/office/drawing/2014/main" id="{C187D1CC-2FBB-5848-8805-2686164CC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A673D" w:rsidRDefault="006A673D" w:rsidP="006A673D">
      <w:pPr>
        <w:jc w:val="center"/>
        <w:rPr>
          <w:lang w:val="fr-CA"/>
        </w:rPr>
      </w:pPr>
    </w:p>
    <w:p w:rsidR="006A673D" w:rsidRDefault="006A673D" w:rsidP="006A673D">
      <w:pPr>
        <w:jc w:val="center"/>
        <w:rPr>
          <w:lang w:val="fr-CA"/>
        </w:rPr>
      </w:pPr>
      <w:r>
        <w:rPr>
          <w:noProof/>
        </w:rPr>
        <w:lastRenderedPageBreak/>
        <w:drawing>
          <wp:inline distT="0" distB="0" distL="0" distR="0" wp14:anchorId="5ED27041" wp14:editId="2FBD7B40">
            <wp:extent cx="4572000" cy="2743200"/>
            <wp:effectExtent l="0" t="0" r="12700" b="12700"/>
            <wp:docPr id="4" name="Graphique 4">
              <a:extLst xmlns:a="http://schemas.openxmlformats.org/drawingml/2006/main">
                <a:ext uri="{FF2B5EF4-FFF2-40B4-BE49-F238E27FC236}">
                  <a16:creationId xmlns:a16="http://schemas.microsoft.com/office/drawing/2014/main" id="{EBBEAA65-1505-CC4D-A344-9BF3F97D0C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F6C17" w:rsidRDefault="00AF6C17" w:rsidP="006A673D">
      <w:pPr>
        <w:jc w:val="center"/>
        <w:rPr>
          <w:lang w:val="fr-CA"/>
        </w:rPr>
      </w:pPr>
    </w:p>
    <w:p w:rsidR="00AF6C17" w:rsidRDefault="00AF6C17" w:rsidP="0037641E">
      <w:pPr>
        <w:jc w:val="center"/>
        <w:rPr>
          <w:lang w:val="fr-CA"/>
        </w:rPr>
      </w:pPr>
      <w:r>
        <w:rPr>
          <w:noProof/>
        </w:rPr>
        <w:drawing>
          <wp:inline distT="0" distB="0" distL="0" distR="0" wp14:anchorId="59ED0D92" wp14:editId="722E2D3B">
            <wp:extent cx="4540299" cy="2404012"/>
            <wp:effectExtent l="0" t="0" r="6350" b="9525"/>
            <wp:docPr id="5" name="Graphique 5">
              <a:extLst xmlns:a="http://schemas.openxmlformats.org/drawingml/2006/main">
                <a:ext uri="{FF2B5EF4-FFF2-40B4-BE49-F238E27FC236}">
                  <a16:creationId xmlns:a16="http://schemas.microsoft.com/office/drawing/2014/main" id="{EBBEAA65-1505-CC4D-A344-9BF3F97D0C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F6C17" w:rsidRDefault="00AF6C17" w:rsidP="00AF6C17">
      <w:pPr>
        <w:jc w:val="both"/>
        <w:rPr>
          <w:u w:val="single"/>
          <w:lang w:val="fr-CA"/>
        </w:rPr>
      </w:pPr>
      <w:r>
        <w:rPr>
          <w:u w:val="single"/>
          <w:lang w:val="fr-CA"/>
        </w:rPr>
        <w:t>Avantages et inconvénients</w:t>
      </w:r>
    </w:p>
    <w:p w:rsidR="00AF6C17" w:rsidRDefault="00AF6C17" w:rsidP="00AF6C17">
      <w:pPr>
        <w:jc w:val="both"/>
        <w:rPr>
          <w:lang w:val="fr-CA"/>
        </w:rPr>
      </w:pPr>
    </w:p>
    <w:p w:rsidR="004D50F1" w:rsidRDefault="00AF6C17" w:rsidP="00716DC9">
      <w:pPr>
        <w:jc w:val="both"/>
        <w:rPr>
          <w:lang w:val="fr-CA"/>
        </w:rPr>
      </w:pPr>
      <w:r>
        <w:rPr>
          <w:lang w:val="fr-CA"/>
        </w:rPr>
        <w:tab/>
        <w:t xml:space="preserve">Un des principaux avantages de Java RMI est la capacité de télécharger la définition </w:t>
      </w:r>
      <w:r w:rsidR="00716DC9">
        <w:rPr>
          <w:lang w:val="fr-CA"/>
        </w:rPr>
        <w:t>de la</w:t>
      </w:r>
      <w:r>
        <w:rPr>
          <w:lang w:val="fr-CA"/>
        </w:rPr>
        <w:t xml:space="preserve"> classe </w:t>
      </w:r>
      <w:r w:rsidR="00716DC9">
        <w:rPr>
          <w:lang w:val="fr-CA"/>
        </w:rPr>
        <w:t>d’un objet même si cette classe n’est pas disponible localement. Il est donc possible de profiter des types et du comportement de l’objet même si celui n’est pas défini localement, mais seulement dans une autre machine. De cette façon, le comportement des objets n’est pas modifié même s’ils sont utilisés sur des machines distantes ce qui permet d’étendre facilement le comportement d’une application dans un programme distribué. De plus, cette méthode est sécuritaire et facile d’utilisation</w:t>
      </w:r>
      <w:r w:rsidR="00145C86">
        <w:rPr>
          <w:lang w:val="fr-CA"/>
        </w:rPr>
        <w:t>, car elle rend les aspects réseau transparents</w:t>
      </w:r>
      <w:r w:rsidR="00716DC9">
        <w:rPr>
          <w:lang w:val="fr-CA"/>
        </w:rPr>
        <w:t>.</w:t>
      </w:r>
    </w:p>
    <w:p w:rsidR="00976721" w:rsidRDefault="00976721" w:rsidP="00716DC9">
      <w:pPr>
        <w:jc w:val="both"/>
        <w:rPr>
          <w:lang w:val="fr-CA"/>
        </w:rPr>
      </w:pPr>
    </w:p>
    <w:p w:rsidR="004D50F1" w:rsidRDefault="00716DC9" w:rsidP="00716DC9">
      <w:pPr>
        <w:jc w:val="both"/>
        <w:rPr>
          <w:lang w:val="fr-CA"/>
        </w:rPr>
      </w:pPr>
      <w:r>
        <w:rPr>
          <w:lang w:val="fr-CA"/>
        </w:rPr>
        <w:tab/>
        <w:t>L’inconvénient principal du RMI est le même que dans plusieurs systèmes distribués : la latence est plus grande plus la taille des paquets augmente ce qui peut causer des problèmes</w:t>
      </w:r>
      <w:r w:rsidR="001929A2">
        <w:rPr>
          <w:lang w:val="fr-CA"/>
        </w:rPr>
        <w:t xml:space="preserve"> de fiabilité</w:t>
      </w:r>
      <w:r>
        <w:rPr>
          <w:lang w:val="fr-CA"/>
        </w:rPr>
        <w:t xml:space="preserve">. </w:t>
      </w:r>
      <w:r w:rsidR="00145C86">
        <w:rPr>
          <w:lang w:val="fr-CA"/>
        </w:rPr>
        <w:t>Un autre inconvénient est que cette technologie n’est supportée que par Java.</w:t>
      </w:r>
    </w:p>
    <w:p w:rsidR="00716DC9" w:rsidRDefault="004D50F1" w:rsidP="004D50F1">
      <w:pPr>
        <w:rPr>
          <w:lang w:val="fr-CA"/>
        </w:rPr>
      </w:pPr>
      <w:r>
        <w:rPr>
          <w:lang w:val="fr-CA"/>
        </w:rPr>
        <w:br w:type="page"/>
      </w:r>
      <w:r>
        <w:rPr>
          <w:lang w:val="fr-CA"/>
        </w:rPr>
        <w:lastRenderedPageBreak/>
        <w:t>Q2.</w:t>
      </w:r>
      <w:r w:rsidR="00201B3C">
        <w:rPr>
          <w:lang w:val="fr-CA"/>
        </w:rPr>
        <w:t xml:space="preserve"> </w:t>
      </w:r>
    </w:p>
    <w:p w:rsidR="00201B3C" w:rsidRDefault="00201B3C" w:rsidP="004D50F1">
      <w:pPr>
        <w:rPr>
          <w:lang w:val="fr-CA"/>
        </w:rPr>
      </w:pPr>
    </w:p>
    <w:p w:rsidR="003249FD" w:rsidRDefault="00201B3C" w:rsidP="00201B3C">
      <w:pPr>
        <w:jc w:val="both"/>
        <w:rPr>
          <w:lang w:val="fr-CA"/>
        </w:rPr>
      </w:pPr>
      <w:r>
        <w:rPr>
          <w:lang w:val="fr-CA"/>
        </w:rPr>
        <w:t xml:space="preserve">Tout d’abord, il faut mettre en place le registre RMI sur chaque machine pour avoir accès à un annuaire des objets serveurs disponibles. Ensuite, </w:t>
      </w:r>
      <w:r w:rsidR="006445DE">
        <w:rPr>
          <w:lang w:val="fr-CA"/>
        </w:rPr>
        <w:t xml:space="preserve">du côté serveur, </w:t>
      </w:r>
      <w:r>
        <w:rPr>
          <w:lang w:val="fr-CA"/>
        </w:rPr>
        <w:t>on crée un</w:t>
      </w:r>
      <w:r w:rsidR="0052593F">
        <w:rPr>
          <w:lang w:val="fr-CA"/>
        </w:rPr>
        <w:t>e</w:t>
      </w:r>
      <w:r>
        <w:rPr>
          <w:lang w:val="fr-CA"/>
        </w:rPr>
        <w:t xml:space="preserve"> </w:t>
      </w:r>
      <w:r w:rsidR="006445DE">
        <w:rPr>
          <w:lang w:val="fr-CA"/>
        </w:rPr>
        <w:t xml:space="preserve">instance </w:t>
      </w:r>
      <w:r>
        <w:rPr>
          <w:lang w:val="fr-CA"/>
        </w:rPr>
        <w:t xml:space="preserve">serveur, on recherche le registre RMI et on enregistre le serveur dans celui-ci afin que ses méthodes soient disponibles pour le client. </w:t>
      </w:r>
      <w:r w:rsidR="003249FD">
        <w:rPr>
          <w:lang w:val="fr-CA"/>
        </w:rPr>
        <w:t xml:space="preserve">Du côté </w:t>
      </w:r>
      <w:r w:rsidR="003249FD" w:rsidRPr="003249FD">
        <w:rPr>
          <w:lang w:val="fr-CA"/>
        </w:rPr>
        <w:t>client</w:t>
      </w:r>
      <w:r w:rsidR="003249FD">
        <w:rPr>
          <w:lang w:val="fr-CA"/>
        </w:rPr>
        <w:t>, on localise le registre RMI pour ensuite rechercher l’objet serveur dans celui-ci et créer un</w:t>
      </w:r>
      <w:r w:rsidR="002430CA">
        <w:rPr>
          <w:lang w:val="fr-CA"/>
        </w:rPr>
        <w:t>e</w:t>
      </w:r>
      <w:r w:rsidR="003249FD">
        <w:rPr>
          <w:lang w:val="fr-CA"/>
        </w:rPr>
        <w:t xml:space="preserve"> interface qui permettra au client d’accéder aux méthodes de l’objet serveur. </w:t>
      </w:r>
      <w:r w:rsidR="00AE6A5A">
        <w:rPr>
          <w:lang w:val="fr-CA"/>
        </w:rPr>
        <w:t>Enfin, le client appel les méthodes du serveur.</w:t>
      </w:r>
    </w:p>
    <w:p w:rsidR="004D50F1" w:rsidRDefault="004D50F1" w:rsidP="004D50F1">
      <w:pPr>
        <w:rPr>
          <w:lang w:val="fr-CA"/>
        </w:rPr>
      </w:pPr>
    </w:p>
    <w:p w:rsidR="00145C86" w:rsidRPr="00797549" w:rsidRDefault="00203D7F" w:rsidP="00797549">
      <w:pPr>
        <w:pStyle w:val="Paragraphedeliste"/>
        <w:numPr>
          <w:ilvl w:val="0"/>
          <w:numId w:val="1"/>
        </w:numPr>
        <w:jc w:val="both"/>
        <w:rPr>
          <w:lang w:val="fr-CA"/>
        </w:rPr>
      </w:pPr>
      <w:r w:rsidRPr="00797549">
        <w:rPr>
          <w:b/>
          <w:lang w:val="fr-CA"/>
        </w:rPr>
        <w:t>r</w:t>
      </w:r>
      <w:r w:rsidR="00145C86" w:rsidRPr="00797549">
        <w:rPr>
          <w:b/>
          <w:lang w:val="fr-CA"/>
        </w:rPr>
        <w:t>miregistry &amp;</w:t>
      </w:r>
      <w:r w:rsidR="00145C86" w:rsidRPr="00797549">
        <w:rPr>
          <w:lang w:val="fr-CA"/>
        </w:rPr>
        <w:t> : Mettre en place un registre RMI offrant un annuaire des objets serveurs disponibles.</w:t>
      </w:r>
    </w:p>
    <w:p w:rsidR="00B43A90" w:rsidRDefault="00B43A90" w:rsidP="00145C86">
      <w:pPr>
        <w:jc w:val="both"/>
        <w:rPr>
          <w:lang w:val="fr-CA"/>
        </w:rPr>
      </w:pPr>
    </w:p>
    <w:p w:rsidR="00B43A90" w:rsidRDefault="00B43A90" w:rsidP="00B43A90">
      <w:pPr>
        <w:jc w:val="both"/>
        <w:rPr>
          <w:u w:val="single"/>
          <w:lang w:val="fr-CA"/>
        </w:rPr>
      </w:pPr>
      <w:r>
        <w:rPr>
          <w:u w:val="single"/>
          <w:lang w:val="fr-CA"/>
        </w:rPr>
        <w:t>Coté Serveur</w:t>
      </w:r>
    </w:p>
    <w:p w:rsidR="006B0CFC" w:rsidRPr="00797549" w:rsidRDefault="00B43A90" w:rsidP="00797549">
      <w:pPr>
        <w:pStyle w:val="Paragraphedeliste"/>
        <w:numPr>
          <w:ilvl w:val="0"/>
          <w:numId w:val="1"/>
        </w:numPr>
        <w:jc w:val="both"/>
        <w:rPr>
          <w:lang w:val="fr-CA"/>
        </w:rPr>
      </w:pPr>
      <w:r w:rsidRPr="00797549">
        <w:rPr>
          <w:b/>
          <w:lang w:val="fr-CA"/>
        </w:rPr>
        <w:t>UnicastRemoteObject.</w:t>
      </w:r>
      <w:r w:rsidR="000A5DEC" w:rsidRPr="00797549">
        <w:rPr>
          <w:b/>
          <w:lang w:val="fr-CA"/>
        </w:rPr>
        <w:t>exportObject()</w:t>
      </w:r>
      <w:r w:rsidR="000A5DEC" w:rsidRPr="00797549">
        <w:rPr>
          <w:lang w:val="fr-CA"/>
        </w:rPr>
        <w:t> : Exporte l</w:t>
      </w:r>
      <w:r w:rsidR="006B0CFC" w:rsidRPr="00797549">
        <w:rPr>
          <w:lang w:val="fr-CA"/>
        </w:rPr>
        <w:t>’objet (le serveur lui-même dans l’exemple fourni)</w:t>
      </w:r>
      <w:r w:rsidR="000A5DEC" w:rsidRPr="00797549">
        <w:rPr>
          <w:lang w:val="fr-CA"/>
        </w:rPr>
        <w:t xml:space="preserve"> pour faire en sorte qu’il puisse recevoir les appels</w:t>
      </w:r>
      <w:r w:rsidR="0008088E" w:rsidRPr="00797549">
        <w:rPr>
          <w:lang w:val="fr-CA"/>
        </w:rPr>
        <w:t xml:space="preserve"> entrants</w:t>
      </w:r>
      <w:r w:rsidR="006B0CFC" w:rsidRPr="00797549">
        <w:rPr>
          <w:lang w:val="fr-CA"/>
        </w:rPr>
        <w:t>.</w:t>
      </w:r>
    </w:p>
    <w:p w:rsidR="006B0CFC" w:rsidRPr="00797549" w:rsidRDefault="006B0CFC" w:rsidP="00797549">
      <w:pPr>
        <w:pStyle w:val="Paragraphedeliste"/>
        <w:numPr>
          <w:ilvl w:val="0"/>
          <w:numId w:val="1"/>
        </w:numPr>
        <w:jc w:val="both"/>
        <w:rPr>
          <w:lang w:val="fr-CA"/>
        </w:rPr>
      </w:pPr>
      <w:r w:rsidRPr="00797549">
        <w:rPr>
          <w:b/>
          <w:lang w:val="fr-CA"/>
        </w:rPr>
        <w:t>LocateRegistry.getRegistry()</w:t>
      </w:r>
      <w:r w:rsidRPr="00797549">
        <w:rPr>
          <w:lang w:val="fr-CA"/>
        </w:rPr>
        <w:t> : Localise le registre RMI sur la machine.</w:t>
      </w:r>
    </w:p>
    <w:p w:rsidR="006B0CFC" w:rsidRPr="00797549" w:rsidRDefault="006B0CFC" w:rsidP="00797549">
      <w:pPr>
        <w:pStyle w:val="Paragraphedeliste"/>
        <w:numPr>
          <w:ilvl w:val="0"/>
          <w:numId w:val="1"/>
        </w:numPr>
        <w:jc w:val="both"/>
        <w:rPr>
          <w:lang w:val="fr-CA"/>
        </w:rPr>
      </w:pPr>
      <w:r w:rsidRPr="00797549">
        <w:rPr>
          <w:b/>
          <w:lang w:val="fr-CA"/>
        </w:rPr>
        <w:t>R</w:t>
      </w:r>
      <w:r w:rsidR="00872C49" w:rsidRPr="00797549">
        <w:rPr>
          <w:b/>
          <w:lang w:val="fr-CA"/>
        </w:rPr>
        <w:t>egistry.r</w:t>
      </w:r>
      <w:r w:rsidRPr="00797549">
        <w:rPr>
          <w:b/>
          <w:lang w:val="fr-CA"/>
        </w:rPr>
        <w:t>ebind() </w:t>
      </w:r>
      <w:r w:rsidRPr="00797549">
        <w:rPr>
          <w:lang w:val="fr-CA"/>
        </w:rPr>
        <w:t>: Remplacement de l’objet (le serveur dans l’exemple fourni) dans le registre RMI</w:t>
      </w:r>
      <w:r w:rsidR="00872C49" w:rsidRPr="00797549">
        <w:rPr>
          <w:lang w:val="fr-CA"/>
        </w:rPr>
        <w:t xml:space="preserve"> en lui accordant un nom</w:t>
      </w:r>
      <w:r w:rsidRPr="00797549">
        <w:rPr>
          <w:lang w:val="fr-CA"/>
        </w:rPr>
        <w:t>.</w:t>
      </w:r>
    </w:p>
    <w:p w:rsidR="00872C49" w:rsidRDefault="00797549" w:rsidP="00797549">
      <w:pPr>
        <w:ind w:left="709" w:hanging="349"/>
        <w:jc w:val="both"/>
        <w:rPr>
          <w:lang w:val="fr-CA"/>
        </w:rPr>
      </w:pPr>
      <w:r>
        <w:rPr>
          <w:b/>
          <w:lang w:val="fr-CA"/>
        </w:rPr>
        <w:t xml:space="preserve">8. </w:t>
      </w:r>
      <w:r w:rsidR="00485987">
        <w:rPr>
          <w:b/>
          <w:lang w:val="fr-CA"/>
        </w:rPr>
        <w:t xml:space="preserve">  </w:t>
      </w:r>
      <w:r w:rsidR="00AF3805">
        <w:rPr>
          <w:b/>
          <w:lang w:val="fr-CA"/>
        </w:rPr>
        <w:t>Server.e</w:t>
      </w:r>
      <w:r w:rsidR="00872C49">
        <w:rPr>
          <w:b/>
          <w:lang w:val="fr-CA"/>
        </w:rPr>
        <w:t>xecute()</w:t>
      </w:r>
      <w:r w:rsidR="00872C49">
        <w:rPr>
          <w:lang w:val="fr-CA"/>
        </w:rPr>
        <w:t> : méthode</w:t>
      </w:r>
      <w:r w:rsidR="002C49E5">
        <w:rPr>
          <w:lang w:val="fr-CA"/>
        </w:rPr>
        <w:t xml:space="preserve"> ne faisant rien et</w:t>
      </w:r>
      <w:r w:rsidR="00872C49">
        <w:rPr>
          <w:lang w:val="fr-CA"/>
        </w:rPr>
        <w:t xml:space="preserve"> prenant en argument un tableau de </w:t>
      </w:r>
      <w:r>
        <w:rPr>
          <w:lang w:val="fr-CA"/>
        </w:rPr>
        <w:t xml:space="preserve">         </w:t>
      </w:r>
      <w:r w:rsidR="00872C49">
        <w:rPr>
          <w:lang w:val="fr-CA"/>
        </w:rPr>
        <w:t>taille variable.</w:t>
      </w:r>
    </w:p>
    <w:p w:rsidR="00B43A90" w:rsidRDefault="00B43A90" w:rsidP="00145C86">
      <w:pPr>
        <w:jc w:val="both"/>
        <w:rPr>
          <w:lang w:val="fr-CA"/>
        </w:rPr>
      </w:pPr>
    </w:p>
    <w:p w:rsidR="00B43A90" w:rsidRPr="00B43A90" w:rsidRDefault="00B43A90" w:rsidP="00145C86">
      <w:pPr>
        <w:jc w:val="both"/>
        <w:rPr>
          <w:u w:val="single"/>
          <w:lang w:val="fr-CA"/>
        </w:rPr>
      </w:pPr>
      <w:r>
        <w:rPr>
          <w:u w:val="single"/>
          <w:lang w:val="fr-CA"/>
        </w:rPr>
        <w:t>Côté Client</w:t>
      </w:r>
    </w:p>
    <w:p w:rsidR="004D50F1" w:rsidRPr="00797549" w:rsidRDefault="004D50F1" w:rsidP="00797549">
      <w:pPr>
        <w:pStyle w:val="Paragraphedeliste"/>
        <w:numPr>
          <w:ilvl w:val="0"/>
          <w:numId w:val="1"/>
        </w:numPr>
        <w:jc w:val="both"/>
        <w:rPr>
          <w:lang w:val="fr-CA"/>
        </w:rPr>
      </w:pPr>
      <w:r w:rsidRPr="00797549">
        <w:rPr>
          <w:b/>
          <w:lang w:val="fr-CA"/>
        </w:rPr>
        <w:t>Loc</w:t>
      </w:r>
      <w:r w:rsidR="00145C86" w:rsidRPr="00797549">
        <w:rPr>
          <w:b/>
          <w:lang w:val="fr-CA"/>
        </w:rPr>
        <w:t>ateRegistry.getRegistry()</w:t>
      </w:r>
      <w:r w:rsidR="00145C86" w:rsidRPr="00797549">
        <w:rPr>
          <w:lang w:val="fr-CA"/>
        </w:rPr>
        <w:t> : Localise le registre RMI sur la machine par son nom (Adresse IP dans l’exemple fourni)</w:t>
      </w:r>
    </w:p>
    <w:p w:rsidR="00B43A90" w:rsidRPr="00797549" w:rsidRDefault="00145C86" w:rsidP="00797549">
      <w:pPr>
        <w:pStyle w:val="Paragraphedeliste"/>
        <w:numPr>
          <w:ilvl w:val="0"/>
          <w:numId w:val="1"/>
        </w:numPr>
        <w:jc w:val="both"/>
        <w:rPr>
          <w:lang w:val="fr-CA"/>
        </w:rPr>
      </w:pPr>
      <w:r w:rsidRPr="00797549">
        <w:rPr>
          <w:b/>
          <w:lang w:val="fr-CA"/>
        </w:rPr>
        <w:t>Registry.lookup()</w:t>
      </w:r>
      <w:r w:rsidRPr="00797549">
        <w:rPr>
          <w:lang w:val="fr-CA"/>
        </w:rPr>
        <w:t> : Recherche d’un objet distant dans le registre RMI. Dans notre exemple, lookup recherche l’objet serveur pour en faire un interface serveur permettant de négliger les aspects réseaux.</w:t>
      </w:r>
      <w:r w:rsidR="00667490" w:rsidRPr="00797549">
        <w:rPr>
          <w:lang w:val="fr-CA"/>
        </w:rPr>
        <w:t xml:space="preserve"> Nous avons donc ensuite accès aux méthodes de l’objet en question.</w:t>
      </w:r>
      <w:r w:rsidR="00526F9F" w:rsidRPr="00797549">
        <w:rPr>
          <w:lang w:val="fr-CA"/>
        </w:rPr>
        <w:t xml:space="preserve"> Dans notre exemple, nous appelons la fonction </w:t>
      </w:r>
      <w:r w:rsidR="00526F9F" w:rsidRPr="00797549">
        <w:rPr>
          <w:i/>
          <w:lang w:val="fr-CA"/>
        </w:rPr>
        <w:t>execute</w:t>
      </w:r>
      <w:r w:rsidR="00526F9F" w:rsidRPr="00797549">
        <w:rPr>
          <w:lang w:val="fr-CA"/>
        </w:rPr>
        <w:t>.</w:t>
      </w:r>
    </w:p>
    <w:p w:rsidR="00935B6B" w:rsidRDefault="00AF3805" w:rsidP="00C05556">
      <w:pPr>
        <w:pStyle w:val="Paragraphedeliste"/>
        <w:numPr>
          <w:ilvl w:val="0"/>
          <w:numId w:val="1"/>
        </w:numPr>
        <w:jc w:val="both"/>
        <w:rPr>
          <w:lang w:val="fr-CA"/>
        </w:rPr>
      </w:pPr>
      <w:r w:rsidRPr="00797549">
        <w:rPr>
          <w:b/>
          <w:lang w:val="fr-CA"/>
        </w:rPr>
        <w:t>Server.e</w:t>
      </w:r>
      <w:r w:rsidR="00872C49" w:rsidRPr="00797549">
        <w:rPr>
          <w:b/>
          <w:lang w:val="fr-CA"/>
        </w:rPr>
        <w:t>xecute()</w:t>
      </w:r>
      <w:r w:rsidR="00872C49" w:rsidRPr="00797549">
        <w:rPr>
          <w:lang w:val="fr-CA"/>
        </w:rPr>
        <w:t> : méthode du serveur.</w:t>
      </w:r>
    </w:p>
    <w:p w:rsidR="00201B3C" w:rsidRDefault="00935B6B" w:rsidP="00935B6B">
      <w:pPr>
        <w:rPr>
          <w:u w:val="single"/>
          <w:lang w:val="fr-CA"/>
        </w:rPr>
      </w:pPr>
      <w:r>
        <w:rPr>
          <w:lang w:val="fr-CA"/>
        </w:rPr>
        <w:br w:type="page"/>
      </w:r>
      <w:r>
        <w:rPr>
          <w:u w:val="single"/>
          <w:lang w:val="fr-CA"/>
        </w:rPr>
        <w:lastRenderedPageBreak/>
        <w:t>Annexe</w:t>
      </w:r>
    </w:p>
    <w:p w:rsidR="00C629B5" w:rsidRDefault="00C629B5" w:rsidP="00935B6B">
      <w:pPr>
        <w:rPr>
          <w:u w:val="single"/>
          <w:lang w:val="fr-CA"/>
        </w:rPr>
      </w:pPr>
      <w:bookmarkStart w:id="1" w:name="_GoBack"/>
      <w:bookmarkEnd w:id="1"/>
    </w:p>
    <w:p w:rsidR="006F2FC3" w:rsidRDefault="006F2FC3" w:rsidP="006F2FC3">
      <w:pPr>
        <w:jc w:val="center"/>
        <w:rPr>
          <w:u w:val="single"/>
          <w:lang w:val="fr-CA"/>
        </w:rPr>
      </w:pPr>
      <w:r>
        <w:rPr>
          <w:u w:val="single"/>
          <w:lang w:val="fr-CA"/>
        </w:rPr>
        <w:t>Tableau 1 des temps en nanosecondes selon la grosseur des paramètres passés en paramètre.</w:t>
      </w:r>
    </w:p>
    <w:p w:rsidR="00935B6B" w:rsidRDefault="00935B6B" w:rsidP="00935B6B">
      <w:pPr>
        <w:rPr>
          <w:u w:val="single"/>
          <w:lang w:val="fr-CA"/>
        </w:rPr>
      </w:pPr>
    </w:p>
    <w:tbl>
      <w:tblPr>
        <w:tblW w:w="8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6"/>
        <w:gridCol w:w="2323"/>
        <w:gridCol w:w="1480"/>
        <w:gridCol w:w="1700"/>
        <w:gridCol w:w="1920"/>
      </w:tblGrid>
      <w:tr w:rsidR="00F064DE" w:rsidRPr="00F064DE" w:rsidTr="006F2FC3">
        <w:trPr>
          <w:trHeight w:val="320"/>
          <w:jc w:val="center"/>
        </w:trPr>
        <w:tc>
          <w:tcPr>
            <w:tcW w:w="846" w:type="dxa"/>
            <w:shd w:val="clear" w:color="auto" w:fill="auto"/>
            <w:noWrap/>
            <w:vAlign w:val="center"/>
            <w:hideMark/>
          </w:tcPr>
          <w:p w:rsidR="00F064DE" w:rsidRPr="00F064DE" w:rsidRDefault="00F064DE" w:rsidP="006F2FC3">
            <w:pPr>
              <w:jc w:val="center"/>
              <w:rPr>
                <w:rFonts w:ascii="Calibri" w:eastAsia="Times New Roman" w:hAnsi="Calibri" w:cs="Calibri"/>
                <w:color w:val="000000"/>
                <w:lang w:val="fr-CA" w:eastAsia="fr-FR"/>
              </w:rPr>
            </w:pPr>
          </w:p>
        </w:tc>
        <w:tc>
          <w:tcPr>
            <w:tcW w:w="2323" w:type="dxa"/>
            <w:shd w:val="clear" w:color="auto" w:fill="auto"/>
            <w:noWrap/>
            <w:vAlign w:val="center"/>
            <w:hideMark/>
          </w:tcPr>
          <w:p w:rsidR="00F064DE" w:rsidRPr="00F064DE" w:rsidRDefault="006F2FC3" w:rsidP="006F2FC3">
            <w:pPr>
              <w:jc w:val="center"/>
              <w:rPr>
                <w:rFonts w:ascii="Calibri" w:eastAsia="Times New Roman" w:hAnsi="Calibri" w:cs="Calibri"/>
                <w:color w:val="000000"/>
                <w:lang w:val="fr-CA" w:eastAsia="fr-FR"/>
              </w:rPr>
            </w:pPr>
            <w:r>
              <w:rPr>
                <w:rFonts w:ascii="Calibri" w:eastAsia="Times New Roman" w:hAnsi="Calibri" w:cs="Calibri"/>
                <w:color w:val="000000"/>
                <w:lang w:val="fr-CA" w:eastAsia="fr-FR"/>
              </w:rPr>
              <w:t>Taille des paramètres (byte)</w:t>
            </w:r>
          </w:p>
        </w:tc>
        <w:tc>
          <w:tcPr>
            <w:tcW w:w="1480" w:type="dxa"/>
            <w:shd w:val="clear" w:color="auto" w:fill="auto"/>
            <w:noWrap/>
            <w:vAlign w:val="center"/>
            <w:hideMark/>
          </w:tcPr>
          <w:p w:rsidR="00F064DE" w:rsidRDefault="00F064DE" w:rsidP="006F2FC3">
            <w:pPr>
              <w:jc w:val="center"/>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Appel normal</w:t>
            </w:r>
          </w:p>
          <w:p w:rsidR="00165711" w:rsidRPr="00F064DE" w:rsidRDefault="00165711" w:rsidP="006F2FC3">
            <w:pPr>
              <w:jc w:val="center"/>
              <w:rPr>
                <w:rFonts w:ascii="Calibri" w:eastAsia="Times New Roman" w:hAnsi="Calibri" w:cs="Calibri"/>
                <w:color w:val="000000"/>
                <w:lang w:val="fr-CA" w:eastAsia="fr-FR"/>
              </w:rPr>
            </w:pPr>
            <w:r>
              <w:rPr>
                <w:rFonts w:ascii="Calibri" w:eastAsia="Times New Roman" w:hAnsi="Calibri" w:cs="Calibri"/>
                <w:color w:val="000000"/>
                <w:lang w:val="fr-CA" w:eastAsia="fr-FR"/>
              </w:rPr>
              <w:t>(ns)</w:t>
            </w:r>
          </w:p>
        </w:tc>
        <w:tc>
          <w:tcPr>
            <w:tcW w:w="1700" w:type="dxa"/>
            <w:shd w:val="clear" w:color="auto" w:fill="auto"/>
            <w:noWrap/>
            <w:vAlign w:val="center"/>
            <w:hideMark/>
          </w:tcPr>
          <w:p w:rsidR="00F064DE" w:rsidRDefault="00F064DE" w:rsidP="006F2FC3">
            <w:pPr>
              <w:jc w:val="center"/>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Appel RMI local</w:t>
            </w:r>
          </w:p>
          <w:p w:rsidR="00165711" w:rsidRPr="00F064DE" w:rsidRDefault="00165711" w:rsidP="006F2FC3">
            <w:pPr>
              <w:jc w:val="center"/>
              <w:rPr>
                <w:rFonts w:ascii="Calibri" w:eastAsia="Times New Roman" w:hAnsi="Calibri" w:cs="Calibri"/>
                <w:color w:val="000000"/>
                <w:lang w:val="fr-CA" w:eastAsia="fr-FR"/>
              </w:rPr>
            </w:pPr>
            <w:r>
              <w:rPr>
                <w:rFonts w:ascii="Calibri" w:eastAsia="Times New Roman" w:hAnsi="Calibri" w:cs="Calibri"/>
                <w:color w:val="000000"/>
                <w:lang w:val="fr-CA" w:eastAsia="fr-FR"/>
              </w:rPr>
              <w:t>(ns)</w:t>
            </w:r>
          </w:p>
        </w:tc>
        <w:tc>
          <w:tcPr>
            <w:tcW w:w="1920" w:type="dxa"/>
            <w:shd w:val="clear" w:color="auto" w:fill="auto"/>
            <w:noWrap/>
            <w:vAlign w:val="center"/>
            <w:hideMark/>
          </w:tcPr>
          <w:p w:rsidR="00F064DE" w:rsidRDefault="00F064DE" w:rsidP="006F2FC3">
            <w:pPr>
              <w:jc w:val="center"/>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Appel RMI distant</w:t>
            </w:r>
          </w:p>
          <w:p w:rsidR="00165711" w:rsidRPr="00F064DE" w:rsidRDefault="00165711" w:rsidP="006F2FC3">
            <w:pPr>
              <w:jc w:val="center"/>
              <w:rPr>
                <w:rFonts w:ascii="Calibri" w:eastAsia="Times New Roman" w:hAnsi="Calibri" w:cs="Calibri"/>
                <w:color w:val="000000"/>
                <w:lang w:val="fr-CA" w:eastAsia="fr-FR"/>
              </w:rPr>
            </w:pPr>
            <w:r>
              <w:rPr>
                <w:rFonts w:ascii="Calibri" w:eastAsia="Times New Roman" w:hAnsi="Calibri" w:cs="Calibri"/>
                <w:color w:val="000000"/>
                <w:lang w:val="fr-CA" w:eastAsia="fr-FR"/>
              </w:rPr>
              <w:t>(ns)</w:t>
            </w:r>
          </w:p>
        </w:tc>
      </w:tr>
      <w:tr w:rsidR="00F064DE" w:rsidRPr="00F064DE" w:rsidTr="006F2FC3">
        <w:trPr>
          <w:trHeight w:val="320"/>
          <w:jc w:val="center"/>
        </w:trPr>
        <w:tc>
          <w:tcPr>
            <w:tcW w:w="846"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1</w:t>
            </w:r>
          </w:p>
        </w:tc>
        <w:tc>
          <w:tcPr>
            <w:tcW w:w="2323"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10</w:t>
            </w:r>
          </w:p>
        </w:tc>
        <w:tc>
          <w:tcPr>
            <w:tcW w:w="148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2399</w:t>
            </w:r>
          </w:p>
        </w:tc>
        <w:tc>
          <w:tcPr>
            <w:tcW w:w="170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1241602</w:t>
            </w:r>
          </w:p>
        </w:tc>
        <w:tc>
          <w:tcPr>
            <w:tcW w:w="192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3930195</w:t>
            </w:r>
          </w:p>
        </w:tc>
      </w:tr>
      <w:tr w:rsidR="00F064DE" w:rsidRPr="00F064DE" w:rsidTr="006F2FC3">
        <w:trPr>
          <w:trHeight w:val="320"/>
          <w:jc w:val="center"/>
        </w:trPr>
        <w:tc>
          <w:tcPr>
            <w:tcW w:w="846"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2</w:t>
            </w:r>
          </w:p>
        </w:tc>
        <w:tc>
          <w:tcPr>
            <w:tcW w:w="2323"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100</w:t>
            </w:r>
          </w:p>
        </w:tc>
        <w:tc>
          <w:tcPr>
            <w:tcW w:w="148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2483</w:t>
            </w:r>
          </w:p>
        </w:tc>
        <w:tc>
          <w:tcPr>
            <w:tcW w:w="170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1676915</w:t>
            </w:r>
          </w:p>
        </w:tc>
        <w:tc>
          <w:tcPr>
            <w:tcW w:w="192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2007237</w:t>
            </w:r>
          </w:p>
        </w:tc>
      </w:tr>
      <w:tr w:rsidR="00F064DE" w:rsidRPr="00F064DE" w:rsidTr="006F2FC3">
        <w:trPr>
          <w:trHeight w:val="320"/>
          <w:jc w:val="center"/>
        </w:trPr>
        <w:tc>
          <w:tcPr>
            <w:tcW w:w="846"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3</w:t>
            </w:r>
          </w:p>
        </w:tc>
        <w:tc>
          <w:tcPr>
            <w:tcW w:w="2323"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1000</w:t>
            </w:r>
          </w:p>
        </w:tc>
        <w:tc>
          <w:tcPr>
            <w:tcW w:w="148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2512</w:t>
            </w:r>
          </w:p>
        </w:tc>
        <w:tc>
          <w:tcPr>
            <w:tcW w:w="170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1345852</w:t>
            </w:r>
          </w:p>
        </w:tc>
        <w:tc>
          <w:tcPr>
            <w:tcW w:w="192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2346956</w:t>
            </w:r>
          </w:p>
        </w:tc>
      </w:tr>
      <w:tr w:rsidR="00F064DE" w:rsidRPr="00F064DE" w:rsidTr="006F2FC3">
        <w:trPr>
          <w:trHeight w:val="320"/>
          <w:jc w:val="center"/>
        </w:trPr>
        <w:tc>
          <w:tcPr>
            <w:tcW w:w="846"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4</w:t>
            </w:r>
          </w:p>
        </w:tc>
        <w:tc>
          <w:tcPr>
            <w:tcW w:w="2323"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10000</w:t>
            </w:r>
          </w:p>
        </w:tc>
        <w:tc>
          <w:tcPr>
            <w:tcW w:w="148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2590</w:t>
            </w:r>
          </w:p>
        </w:tc>
        <w:tc>
          <w:tcPr>
            <w:tcW w:w="170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1332690</w:t>
            </w:r>
          </w:p>
        </w:tc>
        <w:tc>
          <w:tcPr>
            <w:tcW w:w="192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3796175</w:t>
            </w:r>
          </w:p>
        </w:tc>
      </w:tr>
      <w:tr w:rsidR="00F064DE" w:rsidRPr="00F064DE" w:rsidTr="006F2FC3">
        <w:trPr>
          <w:trHeight w:val="320"/>
          <w:jc w:val="center"/>
        </w:trPr>
        <w:tc>
          <w:tcPr>
            <w:tcW w:w="846"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5</w:t>
            </w:r>
          </w:p>
        </w:tc>
        <w:tc>
          <w:tcPr>
            <w:tcW w:w="2323"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100000</w:t>
            </w:r>
          </w:p>
        </w:tc>
        <w:tc>
          <w:tcPr>
            <w:tcW w:w="148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2459</w:t>
            </w:r>
          </w:p>
        </w:tc>
        <w:tc>
          <w:tcPr>
            <w:tcW w:w="170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1435107</w:t>
            </w:r>
          </w:p>
        </w:tc>
        <w:tc>
          <w:tcPr>
            <w:tcW w:w="192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9910951</w:t>
            </w:r>
          </w:p>
        </w:tc>
      </w:tr>
      <w:tr w:rsidR="00F064DE" w:rsidRPr="00F064DE" w:rsidTr="006F2FC3">
        <w:trPr>
          <w:trHeight w:val="320"/>
          <w:jc w:val="center"/>
        </w:trPr>
        <w:tc>
          <w:tcPr>
            <w:tcW w:w="846"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6</w:t>
            </w:r>
          </w:p>
        </w:tc>
        <w:tc>
          <w:tcPr>
            <w:tcW w:w="2323"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1000000</w:t>
            </w:r>
          </w:p>
        </w:tc>
        <w:tc>
          <w:tcPr>
            <w:tcW w:w="148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2546</w:t>
            </w:r>
          </w:p>
        </w:tc>
        <w:tc>
          <w:tcPr>
            <w:tcW w:w="170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3565611</w:t>
            </w:r>
          </w:p>
        </w:tc>
        <w:tc>
          <w:tcPr>
            <w:tcW w:w="192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88354654</w:t>
            </w:r>
          </w:p>
        </w:tc>
      </w:tr>
      <w:tr w:rsidR="00F064DE" w:rsidRPr="00F064DE" w:rsidTr="006F2FC3">
        <w:trPr>
          <w:trHeight w:val="320"/>
          <w:jc w:val="center"/>
        </w:trPr>
        <w:tc>
          <w:tcPr>
            <w:tcW w:w="846"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7</w:t>
            </w:r>
          </w:p>
        </w:tc>
        <w:tc>
          <w:tcPr>
            <w:tcW w:w="2323"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10000000</w:t>
            </w:r>
          </w:p>
        </w:tc>
        <w:tc>
          <w:tcPr>
            <w:tcW w:w="148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2501</w:t>
            </w:r>
          </w:p>
        </w:tc>
        <w:tc>
          <w:tcPr>
            <w:tcW w:w="170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12170760</w:t>
            </w:r>
          </w:p>
        </w:tc>
        <w:tc>
          <w:tcPr>
            <w:tcW w:w="1920" w:type="dxa"/>
            <w:shd w:val="clear" w:color="auto" w:fill="auto"/>
            <w:noWrap/>
            <w:vAlign w:val="bottom"/>
            <w:hideMark/>
          </w:tcPr>
          <w:p w:rsidR="00F064DE" w:rsidRPr="00F064DE" w:rsidRDefault="00F064DE" w:rsidP="00F064DE">
            <w:pPr>
              <w:jc w:val="right"/>
              <w:rPr>
                <w:rFonts w:ascii="Calibri" w:eastAsia="Times New Roman" w:hAnsi="Calibri" w:cs="Calibri"/>
                <w:color w:val="000000"/>
                <w:lang w:val="fr-CA" w:eastAsia="fr-FR"/>
              </w:rPr>
            </w:pPr>
            <w:r w:rsidRPr="00F064DE">
              <w:rPr>
                <w:rFonts w:ascii="Calibri" w:eastAsia="Times New Roman" w:hAnsi="Calibri" w:cs="Calibri"/>
                <w:color w:val="000000"/>
                <w:lang w:val="fr-CA" w:eastAsia="fr-FR"/>
              </w:rPr>
              <w:t>865108170</w:t>
            </w:r>
          </w:p>
        </w:tc>
      </w:tr>
    </w:tbl>
    <w:p w:rsidR="00F064DE" w:rsidRPr="00935B6B" w:rsidRDefault="00F064DE" w:rsidP="00935B6B">
      <w:pPr>
        <w:rPr>
          <w:u w:val="single"/>
          <w:lang w:val="fr-CA"/>
        </w:rPr>
      </w:pPr>
    </w:p>
    <w:sectPr w:rsidR="00F064DE" w:rsidRPr="00935B6B" w:rsidSect="001D78F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AR PL SungtiL GB">
    <w:panose1 w:val="020B0604020202020204"/>
    <w:charset w:val="00"/>
    <w:family w:val="auto"/>
    <w:pitch w:val="variable"/>
  </w:font>
  <w:font w:name="Lohit Devanagari">
    <w:altName w:val="Calibri"/>
    <w:panose1 w:val="020B0604020202020204"/>
    <w:charset w:val="00"/>
    <w:family w:val="auto"/>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25111"/>
    <w:multiLevelType w:val="hybridMultilevel"/>
    <w:tmpl w:val="AC863A60"/>
    <w:lvl w:ilvl="0" w:tplc="0B8A195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89"/>
    <w:rsid w:val="0001155C"/>
    <w:rsid w:val="000610A5"/>
    <w:rsid w:val="0008088E"/>
    <w:rsid w:val="000A5DEC"/>
    <w:rsid w:val="000C5612"/>
    <w:rsid w:val="0013289B"/>
    <w:rsid w:val="00145C86"/>
    <w:rsid w:val="00150760"/>
    <w:rsid w:val="00165711"/>
    <w:rsid w:val="001667A3"/>
    <w:rsid w:val="001929A2"/>
    <w:rsid w:val="001D78F2"/>
    <w:rsid w:val="001E22BC"/>
    <w:rsid w:val="00201B3C"/>
    <w:rsid w:val="00203D7F"/>
    <w:rsid w:val="002430CA"/>
    <w:rsid w:val="00283611"/>
    <w:rsid w:val="002A22A4"/>
    <w:rsid w:val="002B395B"/>
    <w:rsid w:val="002C49E5"/>
    <w:rsid w:val="002D7F47"/>
    <w:rsid w:val="003249FD"/>
    <w:rsid w:val="0037641E"/>
    <w:rsid w:val="003921B7"/>
    <w:rsid w:val="00406961"/>
    <w:rsid w:val="004136CC"/>
    <w:rsid w:val="00457674"/>
    <w:rsid w:val="00484DAF"/>
    <w:rsid w:val="00485987"/>
    <w:rsid w:val="004D50F1"/>
    <w:rsid w:val="00507389"/>
    <w:rsid w:val="0052593F"/>
    <w:rsid w:val="00526F9F"/>
    <w:rsid w:val="005769C3"/>
    <w:rsid w:val="005C1102"/>
    <w:rsid w:val="005C464F"/>
    <w:rsid w:val="00613535"/>
    <w:rsid w:val="006445DE"/>
    <w:rsid w:val="00667490"/>
    <w:rsid w:val="00691E42"/>
    <w:rsid w:val="00696D42"/>
    <w:rsid w:val="006A6474"/>
    <w:rsid w:val="006A673D"/>
    <w:rsid w:val="006B0CFC"/>
    <w:rsid w:val="006B465C"/>
    <w:rsid w:val="006C3C19"/>
    <w:rsid w:val="006E0820"/>
    <w:rsid w:val="006E1857"/>
    <w:rsid w:val="006F04EF"/>
    <w:rsid w:val="006F2B05"/>
    <w:rsid w:val="006F2FC3"/>
    <w:rsid w:val="00716DC9"/>
    <w:rsid w:val="00797549"/>
    <w:rsid w:val="007C4DD0"/>
    <w:rsid w:val="00811438"/>
    <w:rsid w:val="00872C49"/>
    <w:rsid w:val="00882DF4"/>
    <w:rsid w:val="008E50B2"/>
    <w:rsid w:val="00935B6B"/>
    <w:rsid w:val="00951F65"/>
    <w:rsid w:val="00976721"/>
    <w:rsid w:val="009B29AA"/>
    <w:rsid w:val="009C38EE"/>
    <w:rsid w:val="00A15A71"/>
    <w:rsid w:val="00A538D5"/>
    <w:rsid w:val="00A56082"/>
    <w:rsid w:val="00A906AA"/>
    <w:rsid w:val="00AE3389"/>
    <w:rsid w:val="00AE6A5A"/>
    <w:rsid w:val="00AF3805"/>
    <w:rsid w:val="00AF4341"/>
    <w:rsid w:val="00AF6C17"/>
    <w:rsid w:val="00B43A90"/>
    <w:rsid w:val="00B73260"/>
    <w:rsid w:val="00B914EE"/>
    <w:rsid w:val="00BE1BD2"/>
    <w:rsid w:val="00C05556"/>
    <w:rsid w:val="00C629B5"/>
    <w:rsid w:val="00C73786"/>
    <w:rsid w:val="00CA1E65"/>
    <w:rsid w:val="00D12B52"/>
    <w:rsid w:val="00D42DEB"/>
    <w:rsid w:val="00DC72C5"/>
    <w:rsid w:val="00E23C1A"/>
    <w:rsid w:val="00E914CC"/>
    <w:rsid w:val="00EB235A"/>
    <w:rsid w:val="00EB429A"/>
    <w:rsid w:val="00F064DE"/>
    <w:rsid w:val="00F25537"/>
    <w:rsid w:val="00F613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EF4620D"/>
  <w14:defaultImageDpi w14:val="32767"/>
  <w15:chartTrackingRefBased/>
  <w15:docId w15:val="{00C2159D-994F-1942-B1D0-314C170D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7549"/>
    <w:pPr>
      <w:ind w:left="720"/>
      <w:contextualSpacing/>
    </w:pPr>
  </w:style>
  <w:style w:type="paragraph" w:customStyle="1" w:styleId="Standard">
    <w:name w:val="Standard"/>
    <w:rsid w:val="00406961"/>
    <w:pPr>
      <w:suppressAutoHyphens/>
      <w:autoSpaceDN w:val="0"/>
      <w:textAlignment w:val="baseline"/>
    </w:pPr>
    <w:rPr>
      <w:rFonts w:ascii="Liberation Serif" w:eastAsia="AR PL SungtiL GB" w:hAnsi="Liberation Serif" w:cs="Lohit Devanagari"/>
      <w:kern w:val="3"/>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670818">
      <w:bodyDiv w:val="1"/>
      <w:marLeft w:val="0"/>
      <w:marRight w:val="0"/>
      <w:marTop w:val="0"/>
      <w:marBottom w:val="0"/>
      <w:divBdr>
        <w:top w:val="none" w:sz="0" w:space="0" w:color="auto"/>
        <w:left w:val="none" w:sz="0" w:space="0" w:color="auto"/>
        <w:bottom w:val="none" w:sz="0" w:space="0" w:color="auto"/>
        <w:right w:val="none" w:sz="0" w:space="0" w:color="auto"/>
      </w:divBdr>
    </w:div>
    <w:div w:id="511341310">
      <w:bodyDiv w:val="1"/>
      <w:marLeft w:val="0"/>
      <w:marRight w:val="0"/>
      <w:marTop w:val="0"/>
      <w:marBottom w:val="0"/>
      <w:divBdr>
        <w:top w:val="none" w:sz="0" w:space="0" w:color="auto"/>
        <w:left w:val="none" w:sz="0" w:space="0" w:color="auto"/>
        <w:bottom w:val="none" w:sz="0" w:space="0" w:color="auto"/>
        <w:right w:val="none" w:sz="0" w:space="0" w:color="auto"/>
      </w:divBdr>
    </w:div>
    <w:div w:id="9662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Graphique 1 </a:t>
            </a:r>
            <a:r>
              <a:rPr lang="fr-CA" sz="1400" b="0" i="0" u="none" strike="noStrike" baseline="0">
                <a:effectLst/>
              </a:rPr>
              <a:t>– </a:t>
            </a:r>
            <a:r>
              <a:rPr lang="fr-FR"/>
              <a:t>Appel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Feuil1!$C$1</c:f>
              <c:strCache>
                <c:ptCount val="1"/>
                <c:pt idx="0">
                  <c:v>Appel normal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Feuil1!$B$2:$B$8</c:f>
              <c:numCache>
                <c:formatCode>General</c:formatCode>
                <c:ptCount val="7"/>
                <c:pt idx="0">
                  <c:v>10</c:v>
                </c:pt>
                <c:pt idx="1">
                  <c:v>100</c:v>
                </c:pt>
                <c:pt idx="2">
                  <c:v>1000</c:v>
                </c:pt>
                <c:pt idx="3">
                  <c:v>10000</c:v>
                </c:pt>
                <c:pt idx="4">
                  <c:v>100000</c:v>
                </c:pt>
                <c:pt idx="5">
                  <c:v>1000000</c:v>
                </c:pt>
                <c:pt idx="6">
                  <c:v>10000000</c:v>
                </c:pt>
              </c:numCache>
            </c:numRef>
          </c:cat>
          <c:val>
            <c:numRef>
              <c:f>Feuil1!$C$2:$C$8</c:f>
              <c:numCache>
                <c:formatCode>General</c:formatCode>
                <c:ptCount val="7"/>
                <c:pt idx="0">
                  <c:v>2399</c:v>
                </c:pt>
                <c:pt idx="1">
                  <c:v>2483</c:v>
                </c:pt>
                <c:pt idx="2">
                  <c:v>2512</c:v>
                </c:pt>
                <c:pt idx="3">
                  <c:v>2590</c:v>
                </c:pt>
                <c:pt idx="4">
                  <c:v>2459</c:v>
                </c:pt>
                <c:pt idx="5">
                  <c:v>2546</c:v>
                </c:pt>
                <c:pt idx="6">
                  <c:v>2501</c:v>
                </c:pt>
              </c:numCache>
            </c:numRef>
          </c:val>
          <c:smooth val="0"/>
          <c:extLst>
            <c:ext xmlns:c16="http://schemas.microsoft.com/office/drawing/2014/chart" uri="{C3380CC4-5D6E-409C-BE32-E72D297353CC}">
              <c16:uniqueId val="{00000000-9A15-EE42-ACDA-DDFCB2DF993D}"/>
            </c:ext>
          </c:extLst>
        </c:ser>
        <c:dLbls>
          <c:showLegendKey val="0"/>
          <c:showVal val="0"/>
          <c:showCatName val="0"/>
          <c:showSerName val="0"/>
          <c:showPercent val="0"/>
          <c:showBubbleSize val="0"/>
        </c:dLbls>
        <c:marker val="1"/>
        <c:smooth val="0"/>
        <c:axId val="1767239408"/>
        <c:axId val="1807904384"/>
      </c:lineChart>
      <c:catAx>
        <c:axId val="1767239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Taille des arguments (octets)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7904384"/>
        <c:crosses val="autoZero"/>
        <c:auto val="1"/>
        <c:lblAlgn val="ctr"/>
        <c:lblOffset val="100"/>
        <c:noMultiLvlLbl val="0"/>
      </c:catAx>
      <c:valAx>
        <c:axId val="18079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Latence des appels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67239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Graphique 2 </a:t>
            </a:r>
            <a:r>
              <a:rPr lang="fr-CA" sz="1400" b="0" i="0" u="none" strike="noStrike" baseline="0">
                <a:effectLst/>
              </a:rPr>
              <a:t>–</a:t>
            </a:r>
            <a:r>
              <a:rPr lang="fr-CA" sz="1400" b="0" i="0" u="none" strike="noStrike" baseline="0"/>
              <a:t> </a:t>
            </a:r>
            <a:r>
              <a:rPr lang="fr-FR"/>
              <a:t>Appel RMI local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Feuil1!$D$1</c:f>
              <c:strCache>
                <c:ptCount val="1"/>
                <c:pt idx="0">
                  <c:v>Appel RMI local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Feuil1!$B$2:$B$8</c:f>
              <c:numCache>
                <c:formatCode>General</c:formatCode>
                <c:ptCount val="7"/>
                <c:pt idx="0">
                  <c:v>10</c:v>
                </c:pt>
                <c:pt idx="1">
                  <c:v>100</c:v>
                </c:pt>
                <c:pt idx="2">
                  <c:v>1000</c:v>
                </c:pt>
                <c:pt idx="3">
                  <c:v>10000</c:v>
                </c:pt>
                <c:pt idx="4">
                  <c:v>100000</c:v>
                </c:pt>
                <c:pt idx="5">
                  <c:v>1000000</c:v>
                </c:pt>
                <c:pt idx="6">
                  <c:v>10000000</c:v>
                </c:pt>
              </c:numCache>
            </c:numRef>
          </c:cat>
          <c:val>
            <c:numRef>
              <c:f>Feuil1!$D$2:$D$8</c:f>
              <c:numCache>
                <c:formatCode>General</c:formatCode>
                <c:ptCount val="7"/>
                <c:pt idx="0">
                  <c:v>1241602</c:v>
                </c:pt>
                <c:pt idx="1">
                  <c:v>1676915</c:v>
                </c:pt>
                <c:pt idx="2">
                  <c:v>1345852</c:v>
                </c:pt>
                <c:pt idx="3">
                  <c:v>1332690</c:v>
                </c:pt>
                <c:pt idx="4">
                  <c:v>1435107</c:v>
                </c:pt>
                <c:pt idx="5">
                  <c:v>3565611</c:v>
                </c:pt>
                <c:pt idx="6">
                  <c:v>12170760</c:v>
                </c:pt>
              </c:numCache>
            </c:numRef>
          </c:val>
          <c:smooth val="0"/>
          <c:extLst>
            <c:ext xmlns:c16="http://schemas.microsoft.com/office/drawing/2014/chart" uri="{C3380CC4-5D6E-409C-BE32-E72D297353CC}">
              <c16:uniqueId val="{00000000-683A-484A-956A-E1A11DA4CD06}"/>
            </c:ext>
          </c:extLst>
        </c:ser>
        <c:dLbls>
          <c:showLegendKey val="0"/>
          <c:showVal val="0"/>
          <c:showCatName val="0"/>
          <c:showSerName val="0"/>
          <c:showPercent val="0"/>
          <c:showBubbleSize val="0"/>
        </c:dLbls>
        <c:marker val="1"/>
        <c:smooth val="0"/>
        <c:axId val="1752085888"/>
        <c:axId val="1746517168"/>
      </c:lineChart>
      <c:catAx>
        <c:axId val="1752085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Taille</a:t>
                </a:r>
                <a:r>
                  <a:rPr lang="fr-FR" baseline="0"/>
                  <a:t> des arguments (octets)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46517168"/>
        <c:crosses val="autoZero"/>
        <c:auto val="1"/>
        <c:lblAlgn val="ctr"/>
        <c:lblOffset val="100"/>
        <c:noMultiLvlLbl val="0"/>
      </c:catAx>
      <c:valAx>
        <c:axId val="174651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Latence</a:t>
                </a:r>
                <a:r>
                  <a:rPr lang="fr-FR" baseline="0"/>
                  <a:t> des appels (ns)</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52085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Graphique 3 </a:t>
            </a:r>
            <a:r>
              <a:rPr lang="fr-CA" sz="1400" b="0" i="0" u="none" strike="noStrike" baseline="0">
                <a:effectLst/>
              </a:rPr>
              <a:t>–</a:t>
            </a:r>
            <a:r>
              <a:rPr lang="fr-CA" sz="1400" b="0" i="0" u="none" strike="noStrike" baseline="0"/>
              <a:t> </a:t>
            </a:r>
            <a:r>
              <a:rPr lang="fr-FR"/>
              <a:t>Appel RMI distant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Feuil1!$E$1</c:f>
              <c:strCache>
                <c:ptCount val="1"/>
                <c:pt idx="0">
                  <c:v>Appel RMI distant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Feuil1!$B$2:$B$8</c:f>
              <c:numCache>
                <c:formatCode>General</c:formatCode>
                <c:ptCount val="7"/>
                <c:pt idx="0">
                  <c:v>10</c:v>
                </c:pt>
                <c:pt idx="1">
                  <c:v>100</c:v>
                </c:pt>
                <c:pt idx="2">
                  <c:v>1000</c:v>
                </c:pt>
                <c:pt idx="3">
                  <c:v>10000</c:v>
                </c:pt>
                <c:pt idx="4">
                  <c:v>100000</c:v>
                </c:pt>
                <c:pt idx="5">
                  <c:v>1000000</c:v>
                </c:pt>
                <c:pt idx="6">
                  <c:v>10000000</c:v>
                </c:pt>
              </c:numCache>
            </c:numRef>
          </c:cat>
          <c:val>
            <c:numRef>
              <c:f>Feuil1!$E$2:$E$8</c:f>
              <c:numCache>
                <c:formatCode>General</c:formatCode>
                <c:ptCount val="7"/>
                <c:pt idx="0">
                  <c:v>3930195</c:v>
                </c:pt>
                <c:pt idx="1">
                  <c:v>2007237</c:v>
                </c:pt>
                <c:pt idx="2">
                  <c:v>2346956</c:v>
                </c:pt>
                <c:pt idx="3">
                  <c:v>3796175</c:v>
                </c:pt>
                <c:pt idx="4">
                  <c:v>9910951</c:v>
                </c:pt>
                <c:pt idx="5">
                  <c:v>88354654</c:v>
                </c:pt>
                <c:pt idx="6">
                  <c:v>865108170</c:v>
                </c:pt>
              </c:numCache>
            </c:numRef>
          </c:val>
          <c:smooth val="0"/>
          <c:extLst>
            <c:ext xmlns:c16="http://schemas.microsoft.com/office/drawing/2014/chart" uri="{C3380CC4-5D6E-409C-BE32-E72D297353CC}">
              <c16:uniqueId val="{00000000-006D-5147-A7BB-D397942E0C1F}"/>
            </c:ext>
          </c:extLst>
        </c:ser>
        <c:dLbls>
          <c:showLegendKey val="0"/>
          <c:showVal val="0"/>
          <c:showCatName val="0"/>
          <c:showSerName val="0"/>
          <c:showPercent val="0"/>
          <c:showBubbleSize val="0"/>
        </c:dLbls>
        <c:marker val="1"/>
        <c:smooth val="0"/>
        <c:axId val="1805891520"/>
        <c:axId val="1768368576"/>
      </c:lineChart>
      <c:catAx>
        <c:axId val="1805891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200" b="0" i="0" baseline="0">
                    <a:effectLst/>
                  </a:rPr>
                  <a:t>Taille des arguments (octets)</a:t>
                </a:r>
                <a:endParaRPr lang="fr-CA" sz="12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68368576"/>
        <c:crosses val="autoZero"/>
        <c:auto val="1"/>
        <c:lblAlgn val="ctr"/>
        <c:lblOffset val="100"/>
        <c:noMultiLvlLbl val="0"/>
      </c:catAx>
      <c:valAx>
        <c:axId val="176836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200" b="0" i="0" baseline="0">
                    <a:effectLst/>
                  </a:rPr>
                  <a:t>Latence des appels (ns)</a:t>
                </a:r>
                <a:endParaRPr lang="fr-CA"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5891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Graphique</a:t>
            </a:r>
            <a:r>
              <a:rPr lang="fr-FR" baseline="0"/>
              <a:t> 4 </a:t>
            </a:r>
            <a:r>
              <a:rPr lang="fr-CA" sz="1400" b="0" i="0" u="none" strike="noStrike" baseline="0">
                <a:effectLst/>
              </a:rPr>
              <a:t>–</a:t>
            </a:r>
            <a:r>
              <a:rPr lang="fr-FR" baseline="0"/>
              <a:t> </a:t>
            </a:r>
            <a:r>
              <a:rPr lang="fr-FR"/>
              <a:t>Appel RMI distant (échelle linéaire)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Feuil1!$E$1</c:f>
              <c:strCache>
                <c:ptCount val="1"/>
                <c:pt idx="0">
                  <c:v>Appel RMI distant</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0"/>
            <c:dispEq val="0"/>
          </c:trendline>
          <c:xVal>
            <c:numRef>
              <c:f>Feuil1!$B$2:$B$8</c:f>
              <c:numCache>
                <c:formatCode>General</c:formatCode>
                <c:ptCount val="7"/>
                <c:pt idx="0">
                  <c:v>10</c:v>
                </c:pt>
                <c:pt idx="1">
                  <c:v>100</c:v>
                </c:pt>
                <c:pt idx="2">
                  <c:v>1000</c:v>
                </c:pt>
                <c:pt idx="3">
                  <c:v>10000</c:v>
                </c:pt>
                <c:pt idx="4">
                  <c:v>100000</c:v>
                </c:pt>
                <c:pt idx="5">
                  <c:v>1000000</c:v>
                </c:pt>
                <c:pt idx="6">
                  <c:v>10000000</c:v>
                </c:pt>
              </c:numCache>
            </c:numRef>
          </c:xVal>
          <c:yVal>
            <c:numRef>
              <c:f>Feuil1!$E$2:$E$8</c:f>
              <c:numCache>
                <c:formatCode>General</c:formatCode>
                <c:ptCount val="7"/>
                <c:pt idx="0">
                  <c:v>3930195</c:v>
                </c:pt>
                <c:pt idx="1">
                  <c:v>2007237</c:v>
                </c:pt>
                <c:pt idx="2">
                  <c:v>2346956</c:v>
                </c:pt>
                <c:pt idx="3">
                  <c:v>3796175</c:v>
                </c:pt>
                <c:pt idx="4">
                  <c:v>9910951</c:v>
                </c:pt>
                <c:pt idx="5">
                  <c:v>88354654</c:v>
                </c:pt>
                <c:pt idx="6">
                  <c:v>865108170</c:v>
                </c:pt>
              </c:numCache>
            </c:numRef>
          </c:yVal>
          <c:smooth val="0"/>
          <c:extLst>
            <c:ext xmlns:c16="http://schemas.microsoft.com/office/drawing/2014/chart" uri="{C3380CC4-5D6E-409C-BE32-E72D297353CC}">
              <c16:uniqueId val="{00000001-7B6E-1F41-92FA-0CD714C8B094}"/>
            </c:ext>
          </c:extLst>
        </c:ser>
        <c:dLbls>
          <c:showLegendKey val="0"/>
          <c:showVal val="0"/>
          <c:showCatName val="0"/>
          <c:showSerName val="0"/>
          <c:showPercent val="0"/>
          <c:showBubbleSize val="0"/>
        </c:dLbls>
        <c:axId val="1805891520"/>
        <c:axId val="1768368576"/>
      </c:scatterChart>
      <c:valAx>
        <c:axId val="1805891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200" b="0" i="0" baseline="0">
                    <a:effectLst/>
                  </a:rPr>
                  <a:t>Taille des arguments (octets)</a:t>
                </a:r>
                <a:endParaRPr lang="fr-CA" sz="12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68368576"/>
        <c:crosses val="autoZero"/>
        <c:crossBetween val="midCat"/>
      </c:valAx>
      <c:valAx>
        <c:axId val="176836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200" b="0" i="0" baseline="0">
                    <a:effectLst/>
                  </a:rPr>
                  <a:t>Latence des appels (ns)</a:t>
                </a:r>
                <a:endParaRPr lang="fr-CA"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5891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626</Words>
  <Characters>3443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Mathieu Chateauvert</dc:creator>
  <cp:keywords/>
  <dc:description/>
  <cp:lastModifiedBy>Mathieu Mathieu Chateauvert</cp:lastModifiedBy>
  <cp:revision>42</cp:revision>
  <cp:lastPrinted>2019-02-06T15:43:00Z</cp:lastPrinted>
  <dcterms:created xsi:type="dcterms:W3CDTF">2019-02-06T14:21:00Z</dcterms:created>
  <dcterms:modified xsi:type="dcterms:W3CDTF">2019-02-10T16:26:00Z</dcterms:modified>
</cp:coreProperties>
</file>