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Bildungs-</w:t>
      </w:r>
      <w:r>
        <w:t xml:space="preserve"> </w:t>
      </w:r>
      <w:r>
        <w:t xml:space="preserve">und</w:t>
      </w:r>
      <w:r>
        <w:t xml:space="preserve"> </w:t>
      </w:r>
      <w:r>
        <w:t xml:space="preserve">Qualifikationsraum</w:t>
      </w:r>
      <w:r>
        <w:t xml:space="preserve"> </w:t>
      </w:r>
      <w:r>
        <w:t xml:space="preserve">Ruhr</w:t>
      </w:r>
      <w:r>
        <w:t xml:space="preserve"> </w:t>
      </w:r>
      <w:r>
        <w:t xml:space="preserve">2040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Ress</w:t>
      </w:r>
    </w:p>
    <w:p>
      <w:pPr>
        <w:pStyle w:val="Datum"/>
      </w:pPr>
      <w:r>
        <w:t xml:space="preserve">04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berschrift1"/>
      </w:pPr>
      <w:bookmarkStart w:id="20" w:name="markdown-basic-syntax-später-löschen"/>
      <w:r>
        <w:t xml:space="preserve">1	Markdown Basic Syntax (später löschen)</w:t>
      </w:r>
      <w:bookmarkEnd w:id="20"/>
    </w:p>
    <w:p>
      <w:pPr>
        <w:pStyle w:val="FirstParagraph"/>
      </w:pPr>
      <w:r>
        <w:t xml:space="preserve">Zitate einfügen:</w:t>
      </w:r>
    </w:p>
    <w:p>
      <w:pPr>
        <w:pStyle w:val="Compact"/>
        <w:numPr>
          <w:numId w:val="1001"/>
          <w:ilvl w:val="0"/>
        </w:numPr>
      </w:pPr>
      <w:r>
        <w:t xml:space="preserve">Syntax: [</w:t>
      </w:r>
      <w:r>
        <w:t xml:space="preserve">Meil (2016)</w:t>
      </w:r>
      <w:r>
        <w:t xml:space="preserve">, S. 33-35]</w:t>
      </w:r>
    </w:p>
    <w:p>
      <w:pPr>
        <w:pStyle w:val="Compact"/>
        <w:numPr>
          <w:numId w:val="1001"/>
          <w:ilvl w:val="0"/>
        </w:numPr>
      </w:pPr>
      <w:r>
        <w:t xml:space="preserve">Ergebniss:</w:t>
      </w:r>
      <w:r>
        <w:t xml:space="preserve"> </w:t>
      </w:r>
      <w:r>
        <w:t xml:space="preserve">(Meil 2016, S. 33-35)</w:t>
      </w:r>
    </w:p>
    <w:p>
      <w:pPr>
        <w:pStyle w:val="Compact"/>
        <w:numPr>
          <w:numId w:val="1001"/>
          <w:ilvl w:val="0"/>
        </w:numPr>
      </w:pPr>
      <w:r>
        <w:t xml:space="preserve">Das Literaturverzeichnis wird automatisch angepasst</w:t>
      </w:r>
    </w:p>
    <w:p>
      <w:pPr>
        <w:pStyle w:val="FirstParagraph"/>
      </w:pPr>
      <w:r>
        <w:t xml:space="preserve">Formatierung (</w:t>
      </w:r>
      <w:r>
        <w:t xml:space="preserve"> </w:t>
      </w:r>
      <w:hyperlink r:id="rId21">
        <w:r>
          <w:rPr>
            <w:rStyle w:val="Hyperlink"/>
          </w:rPr>
          <w:t xml:space="preserve">Anleitung</w:t>
        </w:r>
      </w:hyperlink>
      <w:r>
        <w:t xml:space="preserve"> </w:t>
      </w:r>
      <w:r>
        <w:t xml:space="preserve">):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Fett</w:t>
      </w:r>
      <w:r>
        <w:t xml:space="preserve">: **Text**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Kursiv</w:t>
      </w:r>
      <w:r>
        <w:t xml:space="preserve">: *Text*</w:t>
      </w:r>
    </w:p>
    <w:p>
      <w:pPr>
        <w:pStyle w:val="Compact"/>
        <w:numPr>
          <w:numId w:val="1002"/>
          <w:ilvl w:val="0"/>
        </w:numPr>
      </w:pPr>
      <w:r>
        <w:t xml:space="preserve">Überschriftebene 1: # Überschrift</w:t>
      </w:r>
    </w:p>
    <w:p>
      <w:pPr>
        <w:pStyle w:val="Compact"/>
        <w:numPr>
          <w:numId w:val="1002"/>
          <w:ilvl w:val="0"/>
        </w:numPr>
      </w:pPr>
      <w:r>
        <w:t xml:space="preserve">Überschriftebene 2: ## Überschrift</w:t>
      </w:r>
    </w:p>
    <w:p>
      <w:pPr>
        <w:pStyle w:val="Compact"/>
        <w:numPr>
          <w:numId w:val="1002"/>
          <w:ilvl w:val="0"/>
        </w:numPr>
      </w:pPr>
      <w:r>
        <w:t xml:space="preserve">Überschriftebene 3: ### Überschrift</w:t>
      </w:r>
    </w:p>
    <w:p>
      <w:pPr>
        <w:pStyle w:val="Compact"/>
        <w:numPr>
          <w:numId w:val="1002"/>
          <w:ilvl w:val="0"/>
        </w:numPr>
      </w:pPr>
      <w:r>
        <w:t xml:space="preserve">…</w:t>
      </w:r>
    </w:p>
    <w:p>
      <w:pPr>
        <w:pStyle w:val="Compact"/>
        <w:numPr>
          <w:numId w:val="1002"/>
          <w:ilvl w:val="0"/>
        </w:numPr>
      </w:pPr>
      <w:r>
        <w:t xml:space="preserve">Links: [Anzeigetext für Link](</w:t>
      </w:r>
      <w:hyperlink r:id="rId22">
        <w:r>
          <w:rPr>
            <w:rStyle w:val="Hyperlink"/>
          </w:rPr>
          <w:t xml:space="preserve">http://www.sampleurl.com</w:t>
        </w:r>
      </w:hyperlink>
      <w:r>
        <w:t xml:space="preserve">)</w:t>
      </w:r>
    </w:p>
    <w:p>
      <w:pPr>
        <w:pStyle w:val="FirstParagraph"/>
      </w:pPr>
      <w:r>
        <w:t xml:space="preserve">Blockquotes: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Dorothy followed her through many of the beautiful rooms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her castle.</w:t>
      </w:r>
    </w:p>
    <w:p>
      <w:pPr>
        <w:pStyle w:val="FirstParagraph"/>
      </w:pPr>
      <w:r>
        <w:t xml:space="preserve">Blockquotes with Multiple Paragraphs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Dorothy followed her through many of the beautiful rooms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her castle.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 Witch bade her clean the pots and kettles and sweep the floor and keep the fire fed with wood.</w:t>
      </w:r>
    </w:p>
    <w:p>
      <w:pPr>
        <w:pStyle w:val="FirstParagraph"/>
      </w:pPr>
      <w:r>
        <w:t xml:space="preserve">Ordered Lists:</w:t>
      </w:r>
    </w:p>
    <w:p>
      <w:pPr>
        <w:pStyle w:val="SourceCode"/>
      </w:pPr>
      <w:r>
        <w:rPr>
          <w:rStyle w:val="FloatTok"/>
        </w:rPr>
        <w:t xml:space="preserve">1.</w:t>
      </w:r>
      <w:r>
        <w:rPr>
          <w:rStyle w:val="NormalTok"/>
        </w:rPr>
        <w:t xml:space="preserve"> First item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Second item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Third item</w:t>
      </w:r>
    </w:p>
    <w:p>
      <w:pPr>
        <w:pStyle w:val="FirstParagraph"/>
      </w:pPr>
      <w:r>
        <w:t xml:space="preserve">Unordered Lists: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 item</w:t>
      </w:r>
      <w:r>
        <w:br/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 item</w:t>
      </w:r>
      <w:r>
        <w:br/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Third item</w:t>
      </w:r>
    </w:p>
    <w:p>
      <w:pPr>
        <w:pStyle w:val="FirstParagraph"/>
      </w:pPr>
      <w:r>
        <w:t xml:space="preserve">Images: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[Tux, the Linux mascot](URL oder Pfad)</w:t>
      </w:r>
    </w:p>
    <w:p>
      <w:pPr>
        <w:pStyle w:val="FirstParagraph"/>
      </w:pPr>
      <w:r>
        <w:t xml:space="preserve">Inlinecode:</w:t>
      </w:r>
    </w:p>
    <w:p>
      <w:pPr>
        <w:pStyle w:val="SourceCode"/>
      </w:pPr>
      <w:r>
        <w:rPr>
          <w:rStyle w:val="NormalTok"/>
        </w:rPr>
        <w:t xml:space="preserve">Einfügen von R Code \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einen Text. Hier z.B. einen Mittelwert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mean(data$variable)</w:t>
      </w:r>
      <w:r>
        <w:rPr>
          <w:rStyle w:val="StringTok"/>
        </w:rPr>
        <w:t xml:space="preserve">`</w:t>
      </w:r>
    </w:p>
    <w:p>
      <w:pPr>
        <w:pStyle w:val="FirstParagraph"/>
      </w:pPr>
      <w:r>
        <w:t xml:space="preserve">Codeblocks:</w:t>
      </w:r>
    </w:p>
    <w:p>
      <w:pPr>
        <w:pStyle w:val="SourceCode"/>
      </w:pPr>
      <w:r>
        <w:rPr>
          <w:rStyle w:val="VerbatimChar"/>
        </w:rPr>
        <w:t xml:space="preserve">```{r name.of.block, options}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Plots:</w:t>
      </w:r>
    </w:p>
    <w:p>
      <w:pPr>
        <w:pStyle w:val="SourceCode"/>
      </w:pPr>
      <w:r>
        <w:rPr>
          <w:rStyle w:val="VerbatimChar"/>
        </w:rPr>
        <w:t xml:space="preserve">```{r pressure, echo=FALSE}</w:t>
      </w:r>
      <w:r>
        <w:br/>
      </w:r>
      <w:r>
        <w:rPr>
          <w:rStyle w:val="VerbatimChar"/>
        </w:rPr>
        <w:t xml:space="preserve">plot(cars)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Options of R code chunks and inline R code (</w:t>
      </w:r>
      <w:r>
        <w:t xml:space="preserve"> </w:t>
      </w:r>
      <w:hyperlink r:id="rId23">
        <w:r>
          <w:rPr>
            <w:rStyle w:val="Hyperlink"/>
          </w:rPr>
          <w:t xml:space="preserve">Anleitung</w:t>
        </w:r>
      </w:hyperlink>
      <w:r>
        <w:t xml:space="preserve"> </w:t>
      </w:r>
      <w:r>
        <w:t xml:space="preserve">):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eval</w:t>
      </w:r>
      <w:r>
        <w:t xml:space="preserve">: Whether to evaluate a code chunk.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echo</w:t>
      </w:r>
      <w:r>
        <w:t xml:space="preserve">: Whether to show the source code in the output document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results</w:t>
      </w:r>
      <w:r>
        <w:t xml:space="preserve">: When set to</w:t>
      </w:r>
      <w:r>
        <w:t xml:space="preserve"> </w:t>
      </w:r>
      <w:r>
        <w:t xml:space="preserve">‘</w:t>
      </w:r>
      <w:r>
        <w:t xml:space="preserve">hide</w:t>
      </w:r>
      <w:r>
        <w:t xml:space="preserve">’</w:t>
      </w:r>
      <w:r>
        <w:t xml:space="preserve">, text output will be hidden; when set to</w:t>
      </w:r>
      <w:r>
        <w:t xml:space="preserve"> </w:t>
      </w:r>
      <w:r>
        <w:t xml:space="preserve">‘</w:t>
      </w:r>
      <w:r>
        <w:t xml:space="preserve">asis</w:t>
      </w:r>
      <w:r>
        <w:t xml:space="preserve">’</w:t>
      </w:r>
      <w:r>
        <w:t xml:space="preserve">, text output is written</w:t>
      </w:r>
      <w:r>
        <w:t xml:space="preserve"> </w:t>
      </w:r>
      <w:r>
        <w:t xml:space="preserve">“</w:t>
      </w:r>
      <w:r>
        <w:t xml:space="preserve">as-is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collapse</w:t>
      </w:r>
      <w:r>
        <w:t xml:space="preserve">: Whether to merge text output and source code into a single code block in the output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warning</w:t>
      </w:r>
      <w:r>
        <w:t xml:space="preserve">, message, and error: Whether to show warnings, messages, and errors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include</w:t>
      </w:r>
      <w:r>
        <w:t xml:space="preserve">: Whether to include anything from a code chunk in the output document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cache</w:t>
      </w:r>
      <w:r>
        <w:t xml:space="preserve">: Whether to enable caching. If caching is enabled, the same code chunk will not be evaluated the next time the document is compiled (if the code chunk was not modified)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fig.width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: The (graphical device) size of R plots in inches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out.width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out.height</w:t>
      </w:r>
      <w:r>
        <w:t xml:space="preserve">: The output size of R plots in the output document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fig.align</w:t>
      </w:r>
      <w:r>
        <w:t xml:space="preserve">: The alignment of plots. It can be</w:t>
      </w:r>
      <w:r>
        <w:t xml:space="preserve"> </w:t>
      </w:r>
      <w:r>
        <w:t xml:space="preserve">‘</w:t>
      </w:r>
      <w:r>
        <w:t xml:space="preserve">left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right</w:t>
      </w:r>
      <w:r>
        <w:t xml:space="preserve">’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fig.cap</w:t>
      </w:r>
      <w:r>
        <w:t xml:space="preserve">: The figure caption.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child</w:t>
      </w:r>
      <w:r>
        <w:t xml:space="preserve">: You can include a child document in the main document.</w:t>
      </w:r>
    </w:p>
    <w:p>
      <w:pPr>
        <w:pStyle w:val="berschrift1"/>
      </w:pPr>
      <w:bookmarkStart w:id="24" w:name="einleitung"/>
      <w:r>
        <w:t xml:space="preserve">2	Einleitung</w:t>
      </w:r>
      <w:bookmarkEnd w:id="24"/>
    </w:p>
    <w:p>
      <w:pPr>
        <w:pStyle w:val="berschrift1"/>
      </w:pPr>
      <w:bookmarkStart w:id="25" w:name="bidungsforschung"/>
      <w:r>
        <w:t xml:space="preserve">3	Bidungsforschung</w:t>
      </w:r>
      <w:bookmarkEnd w:id="25"/>
    </w:p>
    <w:p>
      <w:pPr>
        <w:pStyle w:val="berschrift1"/>
      </w:pPr>
      <w:bookmarkStart w:id="26" w:name="qualifikationsangebot"/>
      <w:r>
        <w:t xml:space="preserve">4	Qualifikationsangebot</w:t>
      </w:r>
      <w:bookmarkEnd w:id="26"/>
    </w:p>
    <w:p>
      <w:pPr>
        <w:pStyle w:val="berschrift2"/>
      </w:pPr>
      <w:bookmarkStart w:id="27" w:name="erwerbbare-qualifikationsniveaus-in-nrw"/>
      <w:r>
        <w:t xml:space="preserve">4.1	Erwerbbare Qualifikationsniveaus in NRW</w:t>
      </w:r>
      <w:bookmarkEnd w:id="27"/>
    </w:p>
    <w:p>
      <w:pPr>
        <w:pStyle w:val="berschrift3"/>
      </w:pPr>
      <w:bookmarkStart w:id="28" w:name="X40346f2bbe6a23450cc57fadd05574ab3b7e00d"/>
      <w:r>
        <w:t xml:space="preserve">4.1.1	Allgemeinbildene, berufliche und akademische Abschlüsse</w:t>
      </w:r>
      <w:bookmarkEnd w:id="28"/>
    </w:p>
    <w:p>
      <w:pPr>
        <w:pStyle w:val="berschrift3"/>
      </w:pPr>
      <w:bookmarkStart w:id="29" w:name="kldb-klassifikation"/>
      <w:r>
        <w:t xml:space="preserve">4.1.2	KldB-Klassifikation</w:t>
      </w:r>
      <w:bookmarkEnd w:id="29"/>
    </w:p>
    <w:p>
      <w:pPr>
        <w:pStyle w:val="berschrift3"/>
      </w:pPr>
      <w:bookmarkStart w:id="30" w:name="casmin-klassifikation"/>
      <w:r>
        <w:t xml:space="preserve">4.1.3	Casmin-Klassifikation</w:t>
      </w:r>
      <w:bookmarkEnd w:id="30"/>
    </w:p>
    <w:p>
      <w:pPr>
        <w:pStyle w:val="berschrift2"/>
      </w:pPr>
      <w:bookmarkStart w:id="31" w:name="primar--sekundarbereich"/>
      <w:r>
        <w:t xml:space="preserve">4.2	Primar- &amp; Sekundarbereich</w:t>
      </w:r>
      <w:bookmarkEnd w:id="31"/>
    </w:p>
    <w:p>
      <w:pPr>
        <w:pStyle w:val="berschrift3"/>
      </w:pPr>
      <w:bookmarkStart w:id="32" w:name="allgemeinbildene-schulen"/>
      <w:r>
        <w:t xml:space="preserve">4.2.1	Allgemeinbildene Schulen</w:t>
      </w:r>
      <w:bookmarkEnd w:id="32"/>
    </w:p>
    <w:p>
      <w:pPr>
        <w:pStyle w:val="berschrift4"/>
      </w:pPr>
      <w:bookmarkStart w:id="33" w:name="struktur-der-allgemeinbildenen-schulen"/>
      <w:r>
        <w:t xml:space="preserve">4.2.1.1	Struktur der allgemeinbildenen Schulen</w:t>
      </w:r>
      <w:bookmarkEnd w:id="33"/>
    </w:p>
    <w:p>
      <w:pPr>
        <w:pStyle w:val="berschrift4"/>
      </w:pPr>
      <w:bookmarkStart w:id="34" w:name="datengrundlage"/>
      <w:r>
        <w:t xml:space="preserve">4.2.1.2	Datengrundlage</w:t>
      </w:r>
      <w:bookmarkEnd w:id="34"/>
    </w:p>
    <w:p>
      <w:pPr>
        <w:pStyle w:val="berschrift4"/>
      </w:pPr>
      <w:bookmarkStart w:id="35" w:name="Xad1ba0976efbe4333a927c4636d75f0e6a67505"/>
      <w:r>
        <w:t xml:space="preserve">4.2.1.3	Vorausberechnung der SchülerInnen bis 2040</w:t>
      </w:r>
      <w:bookmarkEnd w:id="35"/>
    </w:p>
    <w:p>
      <w:pPr>
        <w:pStyle w:val="berschrift4"/>
      </w:pPr>
      <w:bookmarkStart w:id="36" w:name="X0453ec8493ee0788be7290b6db13a4ff58067d9"/>
      <w:r>
        <w:t xml:space="preserve">4.2.1.4	Vorausberechnung der erworbenen Abschlüsse bis 2040</w:t>
      </w:r>
      <w:bookmarkEnd w:id="36"/>
    </w:p>
    <w:p>
      <w:pPr>
        <w:pStyle w:val="berschrift3"/>
      </w:pPr>
      <w:bookmarkStart w:id="37" w:name="berufliche-schulen"/>
      <w:r>
        <w:t xml:space="preserve">4.2.2	Berufliche Schulen</w:t>
      </w:r>
      <w:bookmarkEnd w:id="37"/>
    </w:p>
    <w:p>
      <w:pPr>
        <w:pStyle w:val="berschrift4"/>
      </w:pPr>
      <w:bookmarkStart w:id="38" w:name="struktur-der-beruflichen-schulen"/>
      <w:r>
        <w:t xml:space="preserve">4.2.2.1	Struktur der beruflichen Schulen</w:t>
      </w:r>
      <w:bookmarkEnd w:id="38"/>
    </w:p>
    <w:p>
      <w:pPr>
        <w:pStyle w:val="berschrift4"/>
      </w:pPr>
      <w:bookmarkStart w:id="39" w:name="datengrundlage-1"/>
      <w:r>
        <w:t xml:space="preserve">4.2.2.2	Datengrundlage</w:t>
      </w:r>
      <w:bookmarkEnd w:id="39"/>
    </w:p>
    <w:p>
      <w:pPr>
        <w:pStyle w:val="berschrift4"/>
      </w:pPr>
      <w:bookmarkStart w:id="40" w:name="X170de83f200875782f54cc2f46f62a8bcdfb3d7"/>
      <w:r>
        <w:t xml:space="preserve">4.2.2.3	Vorausberechnung der SchülerInnen bis 2040</w:t>
      </w:r>
      <w:bookmarkEnd w:id="40"/>
    </w:p>
    <w:p>
      <w:pPr>
        <w:pStyle w:val="berschrift4"/>
      </w:pPr>
      <w:bookmarkStart w:id="41" w:name="Xb4b4296e522ae73099709400968cf6e6c2f4cd7"/>
      <w:r>
        <w:t xml:space="preserve">4.2.2.4	Vorausberechnung der erworbenen Abschlüsse bis 2040</w:t>
      </w:r>
      <w:bookmarkEnd w:id="41"/>
    </w:p>
    <w:p>
      <w:pPr>
        <w:pStyle w:val="berschrift2"/>
      </w:pPr>
      <w:bookmarkStart w:id="42" w:name="tertiärbereich"/>
      <w:r>
        <w:t xml:space="preserve">4.3	Tertiärbereich</w:t>
      </w:r>
      <w:bookmarkEnd w:id="42"/>
    </w:p>
    <w:p>
      <w:pPr>
        <w:pStyle w:val="berschrift3"/>
      </w:pPr>
      <w:bookmarkStart w:id="43" w:name="aufstiegsfortbildung"/>
      <w:r>
        <w:t xml:space="preserve">4.3.1	Aufstiegsfortbildung</w:t>
      </w:r>
      <w:bookmarkEnd w:id="43"/>
    </w:p>
    <w:p>
      <w:pPr>
        <w:pStyle w:val="berschrift4"/>
      </w:pPr>
      <w:bookmarkStart w:id="44" w:name="struktur-der-aufstiegsfortbildung"/>
      <w:r>
        <w:t xml:space="preserve">4.3.1.1	Struktur der Aufstiegsfortbildung</w:t>
      </w:r>
      <w:bookmarkEnd w:id="44"/>
    </w:p>
    <w:p>
      <w:pPr>
        <w:pStyle w:val="berschrift4"/>
      </w:pPr>
      <w:bookmarkStart w:id="45" w:name="datengrundlage-2"/>
      <w:r>
        <w:t xml:space="preserve">4.3.1.2	Datengrundlage</w:t>
      </w:r>
      <w:bookmarkEnd w:id="45"/>
    </w:p>
    <w:p>
      <w:pPr>
        <w:pStyle w:val="berschrift4"/>
      </w:pPr>
      <w:bookmarkStart w:id="46" w:name="Xd88702b998891590ba94c00fdb77497807c5c54"/>
      <w:r>
        <w:t xml:space="preserve">4.3.1.3	Vorausberechnung der TeilnehmerInnen bis 2040</w:t>
      </w:r>
      <w:bookmarkEnd w:id="46"/>
    </w:p>
    <w:p>
      <w:pPr>
        <w:pStyle w:val="berschrift4"/>
      </w:pPr>
      <w:bookmarkStart w:id="47" w:name="X3ee8820514b0d975e211f3a7c48d4a5d0e107ef"/>
      <w:r>
        <w:t xml:space="preserve">4.3.1.4	Vorausberechnung der erworbenen Abschlüsse bis 2040</w:t>
      </w:r>
      <w:bookmarkEnd w:id="47"/>
    </w:p>
    <w:p>
      <w:pPr>
        <w:pStyle w:val="berschrift3"/>
      </w:pPr>
      <w:bookmarkStart w:id="48" w:name="fach-hochschulbildung"/>
      <w:r>
        <w:t xml:space="preserve">4.3.2	(Fach-)Hochschulbildung</w:t>
      </w:r>
      <w:bookmarkEnd w:id="48"/>
    </w:p>
    <w:p>
      <w:pPr>
        <w:pStyle w:val="berschrift4"/>
      </w:pPr>
      <w:bookmarkStart w:id="49" w:name="struktur-der-fach-hochschulbildung"/>
      <w:r>
        <w:t xml:space="preserve">4.3.2.1	Struktur der (Fach-)Hochschulbildung</w:t>
      </w:r>
      <w:bookmarkEnd w:id="49"/>
    </w:p>
    <w:p>
      <w:pPr>
        <w:pStyle w:val="berschrift4"/>
      </w:pPr>
      <w:bookmarkStart w:id="50" w:name="datengrundlage-3"/>
      <w:r>
        <w:t xml:space="preserve">4.3.2.2	Datengrundlage</w:t>
      </w:r>
      <w:bookmarkEnd w:id="50"/>
    </w:p>
    <w:p>
      <w:pPr>
        <w:pStyle w:val="berschrift4"/>
      </w:pPr>
      <w:bookmarkStart w:id="51" w:name="Xc11a4201940f8dccf297c10f1b0f67e529f743d"/>
      <w:r>
        <w:t xml:space="preserve">4.3.2.3	Vorausberechnung der Studierenden bis 2040</w:t>
      </w:r>
      <w:bookmarkEnd w:id="51"/>
    </w:p>
    <w:p>
      <w:pPr>
        <w:pStyle w:val="berschrift4"/>
      </w:pPr>
      <w:bookmarkStart w:id="52" w:name="Xe771b04c7a847f5328c68f1be3e5d110528658c"/>
      <w:r>
        <w:t xml:space="preserve">4.3.2.4	Vorausberechnung der erworbenen Abschlüsse bis 2040</w:t>
      </w:r>
      <w:bookmarkEnd w:id="52"/>
    </w:p>
    <w:p>
      <w:pPr>
        <w:pStyle w:val="berschrift1"/>
      </w:pPr>
      <w:bookmarkStart w:id="53" w:name="qualifikationsnachfrage"/>
      <w:r>
        <w:t xml:space="preserve">5	Qualifikationsnachfrage</w:t>
      </w:r>
      <w:bookmarkEnd w:id="53"/>
    </w:p>
    <w:p>
      <w:pPr>
        <w:pStyle w:val="berschrift2"/>
      </w:pPr>
      <w:bookmarkStart w:id="54" w:name="trends-in-der-arbeitswelt"/>
      <w:r>
        <w:t xml:space="preserve">5.1	Trends in der Arbeitswelt</w:t>
      </w:r>
      <w:bookmarkEnd w:id="54"/>
    </w:p>
    <w:p>
      <w:pPr>
        <w:pStyle w:val="berschrift2"/>
      </w:pPr>
      <w:bookmarkStart w:id="55" w:name="zukünftige-nachfrage-nach-qualifiationen"/>
      <w:r>
        <w:t xml:space="preserve">5.2	Zukünftige Nachfrage nach Qualifiationen</w:t>
      </w:r>
      <w:bookmarkEnd w:id="55"/>
    </w:p>
    <w:p>
      <w:pPr>
        <w:pStyle w:val="berschrift3"/>
      </w:pPr>
      <w:bookmarkStart w:id="56" w:name="X5145277609d4464753e0fad8885abbd203e3b14"/>
      <w:r>
        <w:t xml:space="preserve">5.2.1	Literaturübersicht (Ergebnisse anderer Studien)</w:t>
      </w:r>
      <w:bookmarkEnd w:id="56"/>
    </w:p>
    <w:p>
      <w:pPr>
        <w:pStyle w:val="berschrift3"/>
      </w:pPr>
      <w:bookmarkStart w:id="57" w:name="verwendete-szenarien"/>
      <w:r>
        <w:t xml:space="preserve">5.2.2	Verwendete Szenarien</w:t>
      </w:r>
      <w:bookmarkEnd w:id="57"/>
    </w:p>
    <w:p>
      <w:pPr>
        <w:pStyle w:val="berschrift4"/>
      </w:pPr>
      <w:bookmarkStart w:id="58" w:name="ihk-fkm"/>
      <w:r>
        <w:t xml:space="preserve">5.2.2.1	IHK-FKM</w:t>
      </w:r>
      <w:bookmarkEnd w:id="58"/>
    </w:p>
    <w:p>
      <w:pPr>
        <w:pStyle w:val="berschrift5"/>
      </w:pPr>
      <w:bookmarkStart w:id="59" w:name="datengrundlage-4"/>
      <w:r>
        <w:t xml:space="preserve">5.2.2.1.1	Datengrundlage</w:t>
      </w:r>
      <w:bookmarkEnd w:id="59"/>
    </w:p>
    <w:p>
      <w:pPr>
        <w:pStyle w:val="berschrift5"/>
      </w:pPr>
      <w:bookmarkStart w:id="60" w:name="ergebnisse"/>
      <w:r>
        <w:t xml:space="preserve">5.2.2.1.2	Ergebnisse</w:t>
      </w:r>
      <w:bookmarkEnd w:id="60"/>
    </w:p>
    <w:p>
      <w:pPr>
        <w:pStyle w:val="berschrift4"/>
      </w:pPr>
      <w:bookmarkStart w:id="61" w:name="X10d1f5a1c3cab8d6052ac03f790c1f139ed381c"/>
      <w:r>
        <w:t xml:space="preserve">5.2.2.2	Fortschreibung vergangender Entwicklungen</w:t>
      </w:r>
      <w:bookmarkEnd w:id="61"/>
    </w:p>
    <w:p>
      <w:pPr>
        <w:pStyle w:val="berschrift5"/>
      </w:pPr>
      <w:bookmarkStart w:id="62" w:name="datengrundlage-5"/>
      <w:r>
        <w:t xml:space="preserve">5.2.2.2.1	Datengrundlage</w:t>
      </w:r>
      <w:bookmarkEnd w:id="62"/>
    </w:p>
    <w:p>
      <w:pPr>
        <w:pStyle w:val="berschrift5"/>
      </w:pPr>
      <w:bookmarkStart w:id="63" w:name="ergebnisse-1"/>
      <w:r>
        <w:t xml:space="preserve">5.2.2.2.2	Ergebnisse</w:t>
      </w:r>
      <w:bookmarkEnd w:id="63"/>
    </w:p>
    <w:p>
      <w:pPr>
        <w:pStyle w:val="berschrift1"/>
      </w:pPr>
      <w:bookmarkStart w:id="64" w:name="X0ac9bc0fa6b233fac13a99d0bcd2d5560e05f5c"/>
      <w:r>
        <w:t xml:space="preserve">6	Abgleichung von Qualifikationsangebot und -nachfrage</w:t>
      </w:r>
      <w:bookmarkEnd w:id="64"/>
    </w:p>
    <w:p>
      <w:pPr>
        <w:pStyle w:val="berschrift2"/>
      </w:pPr>
      <w:bookmarkStart w:id="65" w:name="X96e833c9583e3e1a1e2dd25caee42f75babfd08"/>
      <w:r>
        <w:t xml:space="preserve">6.1	Abgleich zwischen nachgefragten Qualifikationsniveaus am Arbeitsort und Angebot am Wohnort</w:t>
      </w:r>
      <w:bookmarkEnd w:id="65"/>
    </w:p>
    <w:p>
      <w:pPr>
        <w:pStyle w:val="berschrift2"/>
      </w:pPr>
      <w:bookmarkStart w:id="66" w:name="X7e7b765afdce7ac3639f13f3f9628624976fbeb"/>
      <w:r>
        <w:t xml:space="preserve">6.2	Pendlerströme als Angleichung von Missmatchen</w:t>
      </w:r>
      <w:bookmarkEnd w:id="66"/>
    </w:p>
    <w:p>
      <w:pPr>
        <w:pStyle w:val="berschrift1"/>
      </w:pPr>
      <w:bookmarkStart w:id="67" w:name="fazit"/>
      <w:r>
        <w:t xml:space="preserve">7	Fazit</w:t>
      </w:r>
      <w:bookmarkEnd w:id="67"/>
    </w:p>
    <w:p>
      <w:pPr>
        <w:pStyle w:val="berschrift1"/>
      </w:pPr>
      <w:bookmarkStart w:id="68" w:name="anhang"/>
      <w:r>
        <w:t xml:space="preserve">8	Anhang</w:t>
      </w:r>
      <w:bookmarkEnd w:id="68"/>
    </w:p>
    <w:p>
      <w:pPr>
        <w:pStyle w:val="berschrift1"/>
      </w:pPr>
      <w:bookmarkStart w:id="69" w:name="methodik-qualifikationsangebot"/>
      <w:r>
        <w:t xml:space="preserve">9	Methodik Qualifikationsangebot</w:t>
      </w:r>
      <w:bookmarkEnd w:id="69"/>
    </w:p>
    <w:p>
      <w:pPr>
        <w:pStyle w:val="berschrift2"/>
      </w:pPr>
      <w:bookmarkStart w:id="70" w:name="primar--sekundarbereich-1"/>
      <w:r>
        <w:t xml:space="preserve">9.1	Primar- &amp; Sekundarbereich</w:t>
      </w:r>
      <w:bookmarkEnd w:id="70"/>
    </w:p>
    <w:p>
      <w:pPr>
        <w:pStyle w:val="berschrift3"/>
      </w:pPr>
      <w:bookmarkStart w:id="71" w:name="allgemeinbildene-schulen-1"/>
      <w:r>
        <w:t xml:space="preserve">9.1.1	Allgemeinbildene Schulen</w:t>
      </w:r>
      <w:bookmarkEnd w:id="71"/>
    </w:p>
    <w:p>
      <w:pPr>
        <w:pStyle w:val="berschrift4"/>
      </w:pPr>
      <w:bookmarkStart w:id="72" w:name="X2e9fb6717bf70b20ef413f655fe2f5b244be90d"/>
      <w:r>
        <w:t xml:space="preserve">9.1.1.1	Vorausberechnung der SchülerInnen bis 2040</w:t>
      </w:r>
      <w:bookmarkEnd w:id="72"/>
    </w:p>
    <w:p>
      <w:pPr>
        <w:pStyle w:val="berschrift4"/>
      </w:pPr>
      <w:bookmarkStart w:id="73" w:name="X2309789715e5375fc41168a41406a92a55e991c"/>
      <w:r>
        <w:t xml:space="preserve">9.1.1.2	Vorausberechnung der erworbenen Abschlüsse bis 2040</w:t>
      </w:r>
      <w:bookmarkEnd w:id="73"/>
    </w:p>
    <w:p>
      <w:pPr>
        <w:pStyle w:val="berschrift3"/>
      </w:pPr>
      <w:bookmarkStart w:id="74" w:name="berufliche-schulen-1"/>
      <w:r>
        <w:t xml:space="preserve">9.1.2	Berufliche Schulen</w:t>
      </w:r>
      <w:bookmarkEnd w:id="74"/>
    </w:p>
    <w:p>
      <w:pPr>
        <w:pStyle w:val="berschrift4"/>
      </w:pPr>
      <w:bookmarkStart w:id="75" w:name="Xe04e18440c185cc165f9201e4732e399f6791ee"/>
      <w:r>
        <w:t xml:space="preserve">9.1.2.1	Vorausberechnung der SchülerInnen bis 2040</w:t>
      </w:r>
      <w:bookmarkEnd w:id="75"/>
    </w:p>
    <w:p>
      <w:pPr>
        <w:pStyle w:val="berschrift4"/>
      </w:pPr>
      <w:bookmarkStart w:id="76" w:name="X546e832b1f3c6ab57a22910f247688d698a32bd"/>
      <w:r>
        <w:t xml:space="preserve">9.1.2.2	Vorausberechnung der erworbenen Abschlüsse bis 2040</w:t>
      </w:r>
      <w:bookmarkEnd w:id="76"/>
    </w:p>
    <w:p>
      <w:pPr>
        <w:pStyle w:val="berschrift2"/>
      </w:pPr>
      <w:bookmarkStart w:id="77" w:name="tertiärbereich-1"/>
      <w:r>
        <w:t xml:space="preserve">9.2	Tertiärbereich</w:t>
      </w:r>
      <w:bookmarkEnd w:id="77"/>
    </w:p>
    <w:p>
      <w:pPr>
        <w:pStyle w:val="berschrift3"/>
      </w:pPr>
      <w:bookmarkStart w:id="78" w:name="aufstiegsfortbildung-1"/>
      <w:r>
        <w:t xml:space="preserve">9.2.1	Aufstiegsfortbildung</w:t>
      </w:r>
      <w:bookmarkEnd w:id="78"/>
    </w:p>
    <w:p>
      <w:pPr>
        <w:pStyle w:val="berschrift4"/>
      </w:pPr>
      <w:bookmarkStart w:id="79" w:name="X1193276b47a214553818b7bb96b02d86d7510d4"/>
      <w:r>
        <w:t xml:space="preserve">9.2.1.1	Vorausberechnung der TeilnehmerInnen bis 2040</w:t>
      </w:r>
      <w:bookmarkEnd w:id="79"/>
    </w:p>
    <w:p>
      <w:pPr>
        <w:pStyle w:val="berschrift4"/>
      </w:pPr>
      <w:bookmarkStart w:id="80" w:name="X98520fb1bffcb2c6284560cdb10812756842d8b"/>
      <w:r>
        <w:t xml:space="preserve">9.2.1.2	Vorausberechnung der erworbenen Abschlüsse bis 2040</w:t>
      </w:r>
      <w:bookmarkEnd w:id="80"/>
    </w:p>
    <w:p>
      <w:pPr>
        <w:pStyle w:val="berschrift3"/>
      </w:pPr>
      <w:bookmarkStart w:id="81" w:name="fach-hochschulbildung-1"/>
      <w:r>
        <w:t xml:space="preserve">9.2.2	(Fach-)Hochschulbildung</w:t>
      </w:r>
      <w:bookmarkEnd w:id="81"/>
    </w:p>
    <w:p>
      <w:pPr>
        <w:pStyle w:val="berschrift4"/>
      </w:pPr>
      <w:bookmarkStart w:id="82" w:name="X9474cd02fdf687cdcd95eb1ffd79d92b15d3dee"/>
      <w:r>
        <w:t xml:space="preserve">9.2.2.1	Vorausberechnung der Studierenden bis 2040</w:t>
      </w:r>
      <w:bookmarkEnd w:id="82"/>
    </w:p>
    <w:p>
      <w:pPr>
        <w:pStyle w:val="berschrift4"/>
      </w:pPr>
      <w:bookmarkStart w:id="83" w:name="X2d72427135fbb87b1a0a2c921080f43c16d5e87"/>
      <w:r>
        <w:t xml:space="preserve">9.2.2.2	Vorausberechnung der erworbenen Abschlüsse bis 2040</w:t>
      </w:r>
      <w:bookmarkEnd w:id="83"/>
    </w:p>
    <w:p>
      <w:pPr>
        <w:pStyle w:val="berschrift1"/>
      </w:pPr>
      <w:bookmarkStart w:id="84" w:name="methodik-qualifikationsnachfrage"/>
      <w:r>
        <w:t xml:space="preserve">10	Methodik Qualifikationsnachfrage</w:t>
      </w:r>
      <w:bookmarkEnd w:id="84"/>
    </w:p>
    <w:p>
      <w:pPr>
        <w:pStyle w:val="berschrift1"/>
      </w:pPr>
      <w:bookmarkStart w:id="85" w:name="literatur"/>
      <w:r>
        <w:t xml:space="preserve">11	Literatur</w:t>
      </w:r>
      <w:bookmarkEnd w:id="85"/>
    </w:p>
    <w:bookmarkStart w:id="87" w:name="refs"/>
    <w:bookmarkStart w:id="86" w:name="ref-Meil.2016"/>
    <w:p>
      <w:pPr>
        <w:pStyle w:val="Literaturverzeichnis"/>
      </w:pPr>
      <w:r>
        <w:t xml:space="preserve">Meil, Pamela. 2016. “Digitale Arbeit, Digitale Beschäftigung Und Die Zukunft Des Arbeitsmarkts: Eine Soziologische Perspektive.” In</w:t>
      </w:r>
      <w:r>
        <w:t xml:space="preserve"> </w:t>
      </w:r>
      <w:r>
        <w:rPr>
          <w:i/>
        </w:rPr>
        <w:t xml:space="preserve">Arbeitsmarkt 2030 Digitalisierung Der Arbeitswelt: Analyse Der Zukünftigen Arbeitskräftenachfrage Und Des -Angebots in Deutschland Auf Basis Eines Rechenmodells Im Auftrag Des Bundesministeriums Für Arbeit Und Soziales (Bmas)</w:t>
      </w:r>
      <w:r>
        <w:t xml:space="preserve">, edited by Nicola Düll, 98–104. München.</w:t>
      </w:r>
    </w:p>
    <w:bookmarkEnd w:id="86"/>
    <w:bookmarkEnd w:id="87"/>
    <w:sectPr w:rsidR="00191C8D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93646"/>
      <w:docPartObj>
        <w:docPartGallery w:val="Page Numbers (Bottom of Page)"/>
        <w:docPartUnique/>
      </w:docPartObj>
    </w:sdtPr>
    <w:sdtEndPr/>
    <w:sdtContent>
      <w:p w14:paraId="1ABA0537" w14:textId="71A77146" w:rsidR="006652AF" w:rsidRDefault="006652A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16C074E" w14:textId="77777777" w:rsidR="006652AF" w:rsidRDefault="006652AF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5EEC0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2">
    <w:name w:val="toc 2"/>
    <w:basedOn w:val="Standard"/>
    <w:next w:val="Standard"/>
    <w:autoRedefine/>
    <w:uiPriority w:val="39"/>
    <w:unhideWhenUsed/>
    <w:rsid w:val="006652AF"/>
    <w:pPr>
      <w:spacing w:after="100"/>
      <w:ind w:left="240"/>
    </w:pPr>
  </w:style>
  <w:style w:type="paragraph" w:styleId="Kopfzeile">
    <w:name w:val="header"/>
    <w:basedOn w:val="Standard"/>
    <w:link w:val="KopfzeileZchn"/>
    <w:unhideWhenUsed/>
    <w:rsid w:val="006652A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6652AF"/>
  </w:style>
  <w:style w:type="paragraph" w:styleId="Fuzeile">
    <w:name w:val="footer"/>
    <w:basedOn w:val="Standard"/>
    <w:link w:val="FuzeileZchn"/>
    <w:uiPriority w:val="99"/>
    <w:unhideWhenUsed/>
    <w:rsid w:val="006652A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6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2" Target="http://www.sampleurl.com" TargetMode="External" /><Relationship Type="http://schemas.openxmlformats.org/officeDocument/2006/relationships/hyperlink" Id="rId23" Target="https://bookdown.org/yihui/rmarkdown/r-code.html" TargetMode="External" /><Relationship Type="http://schemas.openxmlformats.org/officeDocument/2006/relationships/hyperlink" Id="rId21" Target="https://www.markdownguide.org/basic-synta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sampleurl.com" TargetMode="External" /><Relationship Type="http://schemas.openxmlformats.org/officeDocument/2006/relationships/hyperlink" Id="rId23" Target="https://bookdown.org/yihui/rmarkdown/r-code.html" TargetMode="External" /><Relationship Type="http://schemas.openxmlformats.org/officeDocument/2006/relationships/hyperlink" Id="rId21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Bildungs- und Qualifikationsraum Ruhr 2040</dc:title>
  <dc:creator>Simon Ress</dc:creator>
  <cp:keywords/>
  <dcterms:created xsi:type="dcterms:W3CDTF">2021-08-04T14:26:01Z</dcterms:created>
  <dcterms:modified xsi:type="dcterms:W3CDTF">2021-08-04T14:26:01Z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Literatur.bib</vt:lpwstr>
  </property>
  <property fmtid="{D5CDD505-2E9C-101B-9397-08002B2CF9AE}" pid="3" name="date">
    <vt:lpwstr>04 August, 2021</vt:lpwstr>
  </property>
  <property fmtid="{D5CDD505-2E9C-101B-9397-08002B2CF9AE}" pid="4" name="output">
    <vt:lpwstr/>
  </property>
</Properties>
</file>