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B8ACC" w14:textId="77777777" w:rsidR="00BB374B" w:rsidRPr="00BB374B" w:rsidRDefault="00BB374B" w:rsidP="00BB374B">
      <w:pPr>
        <w:jc w:val="center"/>
        <w:rPr>
          <w:rFonts w:ascii="Times New Roman" w:hAnsi="Times New Roman" w:cs="Times New Roman"/>
        </w:rPr>
      </w:pPr>
      <w:r w:rsidRPr="00BB374B">
        <w:rPr>
          <w:rFonts w:ascii="Times New Roman" w:hAnsi="Times New Roman" w:cs="Times New Roman"/>
        </w:rPr>
        <w:t>Autoři: Matthew Lyle, Edward J. Riedl, Federico Siano (2023)</w:t>
      </w:r>
    </w:p>
    <w:p w14:paraId="1E163199" w14:textId="05F9E068" w:rsidR="00BB374B" w:rsidRPr="00BB374B" w:rsidRDefault="00BB374B" w:rsidP="00BB374B">
      <w:pPr>
        <w:jc w:val="center"/>
        <w:rPr>
          <w:rFonts w:ascii="Times New Roman" w:hAnsi="Times New Roman" w:cs="Times New Roman"/>
        </w:rPr>
      </w:pPr>
      <w:r w:rsidRPr="00BB374B">
        <w:rPr>
          <w:rFonts w:ascii="Times New Roman" w:hAnsi="Times New Roman" w:cs="Times New Roman"/>
        </w:rPr>
        <w:t>The Accounting Review, Forthcoming</w:t>
      </w:r>
    </w:p>
    <w:p w14:paraId="09F2F4D1" w14:textId="09A8717B" w:rsidR="00BB374B" w:rsidRPr="00BB374B" w:rsidRDefault="00BB374B" w:rsidP="00BB374B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BB374B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1. O článku</w:t>
      </w:r>
    </w:p>
    <w:p w14:paraId="75905188" w14:textId="665BFCD0" w:rsidR="00BB374B" w:rsidRPr="00BB374B" w:rsidRDefault="00BB374B" w:rsidP="00BB37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S</w:t>
      </w:r>
      <w:r w:rsidRPr="00BB374B">
        <w:rPr>
          <w:rFonts w:ascii="Times New Roman" w:hAnsi="Times New Roman" w:cs="Times New Roman"/>
        </w:rPr>
        <w:t xml:space="preserve">tudie </w:t>
      </w:r>
      <w:r w:rsidR="00A83582">
        <w:rPr>
          <w:rFonts w:ascii="Times New Roman" w:hAnsi="Times New Roman" w:cs="Times New Roman"/>
        </w:rPr>
        <w:t>zkoumá</w:t>
      </w:r>
      <w:r w:rsidRPr="00BB374B">
        <w:rPr>
          <w:rFonts w:ascii="Times New Roman" w:hAnsi="Times New Roman" w:cs="Times New Roman"/>
        </w:rPr>
        <w:t xml:space="preserve"> vztah mezi změnami v povinných </w:t>
      </w:r>
      <w:r w:rsidRPr="00BB374B">
        <w:rPr>
          <w:rFonts w:ascii="Times New Roman" w:hAnsi="Times New Roman" w:cs="Times New Roman"/>
          <w:b/>
          <w:bCs/>
        </w:rPr>
        <w:t>rizikových</w:t>
      </w:r>
      <w:r w:rsidRPr="00BB374B">
        <w:rPr>
          <w:rFonts w:ascii="Times New Roman" w:hAnsi="Times New Roman" w:cs="Times New Roman"/>
        </w:rPr>
        <w:t xml:space="preserve"> </w:t>
      </w:r>
      <w:r w:rsidRPr="00BB374B">
        <w:rPr>
          <w:rFonts w:ascii="Times New Roman" w:hAnsi="Times New Roman" w:cs="Times New Roman"/>
          <w:b/>
          <w:bCs/>
        </w:rPr>
        <w:t>disclosures</w:t>
      </w:r>
      <w:r w:rsidRPr="00BB374B">
        <w:rPr>
          <w:rFonts w:ascii="Times New Roman" w:hAnsi="Times New Roman" w:cs="Times New Roman"/>
        </w:rPr>
        <w:t xml:space="preserve"> a </w:t>
      </w:r>
      <w:r w:rsidRPr="00BB374B">
        <w:rPr>
          <w:rFonts w:ascii="Times New Roman" w:hAnsi="Times New Roman" w:cs="Times New Roman"/>
          <w:b/>
          <w:bCs/>
        </w:rPr>
        <w:t>nejistotou</w:t>
      </w:r>
      <w:r w:rsidRPr="00BB374B">
        <w:rPr>
          <w:rFonts w:ascii="Times New Roman" w:hAnsi="Times New Roman" w:cs="Times New Roman"/>
        </w:rPr>
        <w:t xml:space="preserve"> o </w:t>
      </w:r>
      <w:r w:rsidRPr="00BB374B">
        <w:rPr>
          <w:rFonts w:ascii="Times New Roman" w:hAnsi="Times New Roman" w:cs="Times New Roman"/>
          <w:b/>
          <w:bCs/>
        </w:rPr>
        <w:t>riziku</w:t>
      </w:r>
      <w:r w:rsidRPr="00BB374B">
        <w:rPr>
          <w:rFonts w:ascii="Times New Roman" w:hAnsi="Times New Roman" w:cs="Times New Roman"/>
        </w:rPr>
        <w:t xml:space="preserve"> firmy</w:t>
      </w:r>
      <w:r>
        <w:rPr>
          <w:rFonts w:ascii="Times New Roman" w:hAnsi="Times New Roman" w:cs="Times New Roman"/>
        </w:rPr>
        <w:t xml:space="preserve"> (</w:t>
      </w:r>
      <w:r w:rsidRPr="00BB374B">
        <w:rPr>
          <w:rFonts w:ascii="Times New Roman" w:hAnsi="Times New Roman" w:cs="Times New Roman"/>
        </w:rPr>
        <w:t>risk uncertainty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br/>
        <w:t xml:space="preserve">- </w:t>
      </w:r>
      <w:r w:rsidRPr="00BB374B">
        <w:rPr>
          <w:rFonts w:ascii="Times New Roman" w:hAnsi="Times New Roman" w:cs="Times New Roman"/>
        </w:rPr>
        <w:t xml:space="preserve">Zaměřeno na sekci </w:t>
      </w:r>
      <w:r w:rsidRPr="00BB374B">
        <w:rPr>
          <w:rFonts w:ascii="Times New Roman" w:hAnsi="Times New Roman" w:cs="Times New Roman"/>
          <w:b/>
          <w:bCs/>
        </w:rPr>
        <w:t>Item 1A – Risk Factors</w:t>
      </w:r>
      <w:r w:rsidRPr="00BB374B">
        <w:rPr>
          <w:rFonts w:ascii="Times New Roman" w:hAnsi="Times New Roman" w:cs="Times New Roman"/>
        </w:rPr>
        <w:t xml:space="preserve"> v </w:t>
      </w:r>
      <w:r>
        <w:rPr>
          <w:rFonts w:ascii="Times New Roman" w:hAnsi="Times New Roman" w:cs="Times New Roman"/>
        </w:rPr>
        <w:t>reportu</w:t>
      </w:r>
      <w:r w:rsidRPr="00BB374B">
        <w:rPr>
          <w:rFonts w:ascii="Times New Roman" w:hAnsi="Times New Roman" w:cs="Times New Roman"/>
        </w:rPr>
        <w:t xml:space="preserve"> 10-K</w:t>
      </w:r>
      <w:r>
        <w:rPr>
          <w:rFonts w:ascii="Times New Roman" w:hAnsi="Times New Roman" w:cs="Times New Roman"/>
        </w:rPr>
        <w:br/>
        <w:t xml:space="preserve">- </w:t>
      </w:r>
      <w:r w:rsidRPr="00BB374B">
        <w:rPr>
          <w:rFonts w:ascii="Times New Roman" w:hAnsi="Times New Roman" w:cs="Times New Roman"/>
        </w:rPr>
        <w:t xml:space="preserve">Hlavním tržním výstupem je </w:t>
      </w:r>
      <w:r w:rsidRPr="00BB374B">
        <w:rPr>
          <w:rFonts w:ascii="Times New Roman" w:hAnsi="Times New Roman" w:cs="Times New Roman"/>
          <w:b/>
          <w:bCs/>
        </w:rPr>
        <w:t>variance risk premium</w:t>
      </w:r>
      <w:r w:rsidRPr="00BB374B">
        <w:rPr>
          <w:rFonts w:ascii="Times New Roman" w:hAnsi="Times New Roman" w:cs="Times New Roman"/>
        </w:rPr>
        <w:t xml:space="preserve"> (VRP)</w:t>
      </w:r>
    </w:p>
    <w:p w14:paraId="3C94D6ED" w14:textId="74693225" w:rsidR="00BB374B" w:rsidRPr="00BB374B" w:rsidRDefault="00BB374B" w:rsidP="00BB374B">
      <w:pPr>
        <w:rPr>
          <w:rFonts w:ascii="Times New Roman" w:hAnsi="Times New Roman" w:cs="Times New Roman"/>
        </w:rPr>
      </w:pPr>
      <w:r w:rsidRPr="00BB374B">
        <w:rPr>
          <w:rFonts w:ascii="Times New Roman" w:hAnsi="Times New Roman" w:cs="Times New Roman"/>
        </w:rPr>
        <w:t>Článek přímo navazuje na teoretickou literaturu o risk disclosure (</w:t>
      </w:r>
      <w:r w:rsidRPr="00BB374B">
        <w:rPr>
          <w:rFonts w:ascii="Times New Roman" w:hAnsi="Times New Roman" w:cs="Times New Roman"/>
          <w:b/>
          <w:bCs/>
        </w:rPr>
        <w:t>Heinle &amp; Smith, 2017</w:t>
      </w:r>
      <w:r w:rsidRPr="00BB374B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– potenciál pro další rešerší?</w:t>
      </w:r>
    </w:p>
    <w:p w14:paraId="350619FD" w14:textId="2BF573A2" w:rsidR="00BB374B" w:rsidRPr="00BB374B" w:rsidRDefault="00BB374B" w:rsidP="00BB374B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BB374B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2. Hlavní otázk</w:t>
      </w: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y</w:t>
      </w:r>
    </w:p>
    <w:p w14:paraId="162F2205" w14:textId="60CA28DE" w:rsidR="00BB374B" w:rsidRPr="00BB374B" w:rsidRDefault="00BB374B" w:rsidP="00BB37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BB374B">
        <w:rPr>
          <w:rFonts w:ascii="Times New Roman" w:hAnsi="Times New Roman" w:cs="Times New Roman"/>
        </w:rPr>
        <w:t xml:space="preserve">Vedou změny v </w:t>
      </w:r>
      <w:r>
        <w:rPr>
          <w:rFonts w:ascii="Times New Roman" w:hAnsi="Times New Roman" w:cs="Times New Roman"/>
        </w:rPr>
        <w:t>individual</w:t>
      </w:r>
      <w:r w:rsidRPr="00BB374B">
        <w:rPr>
          <w:rFonts w:ascii="Times New Roman" w:hAnsi="Times New Roman" w:cs="Times New Roman"/>
        </w:rPr>
        <w:t xml:space="preserve"> risk factors ke </w:t>
      </w:r>
      <w:r w:rsidRPr="00BB374B">
        <w:rPr>
          <w:rFonts w:ascii="Times New Roman" w:hAnsi="Times New Roman" w:cs="Times New Roman"/>
          <w:b/>
          <w:bCs/>
        </w:rPr>
        <w:t>snížení</w:t>
      </w:r>
      <w:r w:rsidRPr="00BB374B">
        <w:rPr>
          <w:rFonts w:ascii="Times New Roman" w:hAnsi="Times New Roman" w:cs="Times New Roman"/>
        </w:rPr>
        <w:t xml:space="preserve"> </w:t>
      </w:r>
      <w:r w:rsidRPr="00BB374B">
        <w:rPr>
          <w:rFonts w:ascii="Times New Roman" w:hAnsi="Times New Roman" w:cs="Times New Roman"/>
          <w:b/>
          <w:bCs/>
        </w:rPr>
        <w:t>nejistoty</w:t>
      </w:r>
      <w:r w:rsidRPr="00BB374B">
        <w:rPr>
          <w:rFonts w:ascii="Times New Roman" w:hAnsi="Times New Roman" w:cs="Times New Roman"/>
        </w:rPr>
        <w:t xml:space="preserve"> o riziku firmy?</w:t>
      </w:r>
      <w:r>
        <w:rPr>
          <w:rFonts w:ascii="Times New Roman" w:hAnsi="Times New Roman" w:cs="Times New Roman"/>
        </w:rPr>
        <w:br/>
        <w:t>- Využívají</w:t>
      </w:r>
      <w:r w:rsidRPr="00BB374B">
        <w:rPr>
          <w:rFonts w:ascii="Times New Roman" w:hAnsi="Times New Roman" w:cs="Times New Roman"/>
        </w:rPr>
        <w:t xml:space="preserve"> investoři změny risk disclosures k </w:t>
      </w:r>
      <w:r w:rsidRPr="00BB374B">
        <w:rPr>
          <w:rFonts w:ascii="Times New Roman" w:hAnsi="Times New Roman" w:cs="Times New Roman"/>
          <w:b/>
          <w:bCs/>
        </w:rPr>
        <w:t>aktualizaci</w:t>
      </w:r>
      <w:r w:rsidRPr="00BB374B">
        <w:rPr>
          <w:rFonts w:ascii="Times New Roman" w:hAnsi="Times New Roman" w:cs="Times New Roman"/>
        </w:rPr>
        <w:t xml:space="preserve"> </w:t>
      </w:r>
      <w:r w:rsidRPr="00BB374B">
        <w:rPr>
          <w:rFonts w:ascii="Times New Roman" w:hAnsi="Times New Roman" w:cs="Times New Roman"/>
          <w:b/>
          <w:bCs/>
        </w:rPr>
        <w:t>očekávání</w:t>
      </w:r>
      <w:r w:rsidRPr="00BB374B">
        <w:rPr>
          <w:rFonts w:ascii="Times New Roman" w:hAnsi="Times New Roman" w:cs="Times New Roman"/>
        </w:rPr>
        <w:t xml:space="preserve"> o budoucí </w:t>
      </w:r>
      <w:r w:rsidRPr="00BB374B">
        <w:rPr>
          <w:rFonts w:ascii="Times New Roman" w:hAnsi="Times New Roman" w:cs="Times New Roman"/>
          <w:b/>
          <w:bCs/>
        </w:rPr>
        <w:t>volatilitě</w:t>
      </w:r>
      <w:r w:rsidRPr="00BB374B">
        <w:rPr>
          <w:rFonts w:ascii="Times New Roman" w:hAnsi="Times New Roman" w:cs="Times New Roman"/>
        </w:rPr>
        <w:t>?</w:t>
      </w:r>
      <w:r>
        <w:rPr>
          <w:rFonts w:ascii="Times New Roman" w:hAnsi="Times New Roman" w:cs="Times New Roman"/>
        </w:rPr>
        <w:br/>
        <w:t>- Mají</w:t>
      </w:r>
      <w:r w:rsidRPr="00BB374B">
        <w:rPr>
          <w:rFonts w:ascii="Times New Roman" w:hAnsi="Times New Roman" w:cs="Times New Roman"/>
        </w:rPr>
        <w:t xml:space="preserve"> individuální risk factors </w:t>
      </w:r>
      <w:r w:rsidRPr="00BB374B">
        <w:rPr>
          <w:rFonts w:ascii="Times New Roman" w:hAnsi="Times New Roman" w:cs="Times New Roman"/>
          <w:b/>
          <w:bCs/>
        </w:rPr>
        <w:t>dodatečnou</w:t>
      </w:r>
      <w:r w:rsidRPr="00BB374B">
        <w:rPr>
          <w:rFonts w:ascii="Times New Roman" w:hAnsi="Times New Roman" w:cs="Times New Roman"/>
        </w:rPr>
        <w:t xml:space="preserve"> informační </w:t>
      </w:r>
      <w:r w:rsidRPr="00BB374B">
        <w:rPr>
          <w:rFonts w:ascii="Times New Roman" w:hAnsi="Times New Roman" w:cs="Times New Roman"/>
          <w:b/>
          <w:bCs/>
        </w:rPr>
        <w:t>hodnotu</w:t>
      </w:r>
      <w:r w:rsidRPr="00BB374B">
        <w:rPr>
          <w:rFonts w:ascii="Times New Roman" w:hAnsi="Times New Roman" w:cs="Times New Roman"/>
        </w:rPr>
        <w:t xml:space="preserve"> oproti agregovaným textovým mírám rizika?</w:t>
      </w:r>
    </w:p>
    <w:p w14:paraId="2938CE0B" w14:textId="77777777" w:rsidR="00BB374B" w:rsidRPr="00BB374B" w:rsidRDefault="00BB374B" w:rsidP="00BB374B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BB374B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3. Data a metodika</w:t>
      </w:r>
    </w:p>
    <w:p w14:paraId="5263828C" w14:textId="162EE21F" w:rsidR="00BB374B" w:rsidRPr="00BB374B" w:rsidRDefault="00901C17" w:rsidP="00BB37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901C17">
        <w:rPr>
          <w:rFonts w:ascii="Times New Roman" w:hAnsi="Times New Roman" w:cs="Times New Roman"/>
          <w:b/>
          <w:bCs/>
        </w:rPr>
        <w:t>D</w:t>
      </w:r>
      <w:r w:rsidR="00BB374B" w:rsidRPr="00901C17">
        <w:rPr>
          <w:rFonts w:ascii="Times New Roman" w:hAnsi="Times New Roman" w:cs="Times New Roman"/>
          <w:b/>
          <w:bCs/>
        </w:rPr>
        <w:t>ata</w:t>
      </w:r>
      <w:r w:rsidR="00BB374B" w:rsidRPr="00BB374B">
        <w:rPr>
          <w:rFonts w:ascii="Times New Roman" w:hAnsi="Times New Roman" w:cs="Times New Roman"/>
        </w:rPr>
        <w:t>: 10-K reporty z databáze SEC EDGAR (2006–2019)</w:t>
      </w:r>
      <w:r>
        <w:rPr>
          <w:rFonts w:ascii="Times New Roman" w:hAnsi="Times New Roman" w:cs="Times New Roman"/>
        </w:rPr>
        <w:br/>
        <w:t xml:space="preserve">- </w:t>
      </w:r>
      <w:r w:rsidR="00BB374B" w:rsidRPr="00BB374B">
        <w:rPr>
          <w:rFonts w:ascii="Times New Roman" w:hAnsi="Times New Roman" w:cs="Times New Roman"/>
        </w:rPr>
        <w:t xml:space="preserve">Identifikace </w:t>
      </w:r>
      <w:r w:rsidR="00BB374B" w:rsidRPr="00901C17">
        <w:rPr>
          <w:rFonts w:ascii="Times New Roman" w:hAnsi="Times New Roman" w:cs="Times New Roman"/>
          <w:b/>
          <w:bCs/>
        </w:rPr>
        <w:t>risk factors</w:t>
      </w:r>
      <w:r w:rsidR="00BB374B" w:rsidRPr="00BB374B">
        <w:rPr>
          <w:rFonts w:ascii="Times New Roman" w:hAnsi="Times New Roman" w:cs="Times New Roman"/>
        </w:rPr>
        <w:t>: textová analýza strukturovaných nadpisů v sekci Item 1A</w:t>
      </w:r>
      <w:r>
        <w:rPr>
          <w:rFonts w:ascii="Times New Roman" w:hAnsi="Times New Roman" w:cs="Times New Roman"/>
        </w:rPr>
        <w:t xml:space="preserve"> (“</w:t>
      </w:r>
      <w:r w:rsidRPr="00901C17">
        <w:rPr>
          <w:rFonts w:ascii="Times New Roman" w:hAnsi="Times New Roman" w:cs="Times New Roman"/>
        </w:rPr>
        <w:t>Risk Factors</w:t>
      </w:r>
      <w:r>
        <w:rPr>
          <w:rFonts w:ascii="Times New Roman" w:hAnsi="Times New Roman" w:cs="Times New Roman"/>
        </w:rPr>
        <w:t>”)</w:t>
      </w:r>
      <w:r>
        <w:rPr>
          <w:rFonts w:ascii="Times New Roman" w:hAnsi="Times New Roman" w:cs="Times New Roman"/>
        </w:rPr>
        <w:br/>
        <w:t xml:space="preserve">- </w:t>
      </w:r>
      <w:r w:rsidR="00BB374B" w:rsidRPr="00901C17">
        <w:rPr>
          <w:rFonts w:ascii="Times New Roman" w:hAnsi="Times New Roman" w:cs="Times New Roman"/>
          <w:b/>
          <w:bCs/>
        </w:rPr>
        <w:t>Hlavní proměnná</w:t>
      </w:r>
      <w:r w:rsidR="00BB374B" w:rsidRPr="00BB374B">
        <w:rPr>
          <w:rFonts w:ascii="Times New Roman" w:hAnsi="Times New Roman" w:cs="Times New Roman"/>
        </w:rPr>
        <w:t xml:space="preserve">: počet meziročně </w:t>
      </w:r>
      <w:r w:rsidR="00BB374B" w:rsidRPr="00901C17">
        <w:rPr>
          <w:rFonts w:ascii="Times New Roman" w:hAnsi="Times New Roman" w:cs="Times New Roman"/>
          <w:b/>
          <w:bCs/>
        </w:rPr>
        <w:t>přidaných</w:t>
      </w:r>
      <w:r w:rsidR="00BB374B" w:rsidRPr="00BB374B">
        <w:rPr>
          <w:rFonts w:ascii="Times New Roman" w:hAnsi="Times New Roman" w:cs="Times New Roman"/>
        </w:rPr>
        <w:t xml:space="preserve"> a </w:t>
      </w:r>
      <w:r w:rsidR="00BB374B" w:rsidRPr="00901C17">
        <w:rPr>
          <w:rFonts w:ascii="Times New Roman" w:hAnsi="Times New Roman" w:cs="Times New Roman"/>
          <w:b/>
          <w:bCs/>
        </w:rPr>
        <w:t>odebraných</w:t>
      </w:r>
      <w:r w:rsidR="00BB374B" w:rsidRPr="00BB374B">
        <w:rPr>
          <w:rFonts w:ascii="Times New Roman" w:hAnsi="Times New Roman" w:cs="Times New Roman"/>
        </w:rPr>
        <w:t xml:space="preserve"> individuálních risk factors</w:t>
      </w:r>
      <w:r>
        <w:rPr>
          <w:rFonts w:ascii="Times New Roman" w:hAnsi="Times New Roman" w:cs="Times New Roman"/>
        </w:rPr>
        <w:br/>
        <w:t xml:space="preserve">- </w:t>
      </w:r>
      <w:r w:rsidR="00BB374B" w:rsidRPr="00901C17">
        <w:rPr>
          <w:rFonts w:ascii="Times New Roman" w:hAnsi="Times New Roman" w:cs="Times New Roman"/>
          <w:b/>
          <w:bCs/>
        </w:rPr>
        <w:t>Tržní data</w:t>
      </w:r>
      <w:r w:rsidR="00BB374B" w:rsidRPr="00BB374B">
        <w:rPr>
          <w:rFonts w:ascii="Times New Roman" w:hAnsi="Times New Roman" w:cs="Times New Roman"/>
        </w:rPr>
        <w:t>: CRSP (výnosy)</w:t>
      </w:r>
      <w:r>
        <w:rPr>
          <w:rFonts w:ascii="Times New Roman" w:hAnsi="Times New Roman" w:cs="Times New Roman"/>
        </w:rPr>
        <w:br/>
        <w:t xml:space="preserve">- </w:t>
      </w:r>
      <w:r w:rsidR="00BB374B" w:rsidRPr="00BB374B">
        <w:rPr>
          <w:rFonts w:ascii="Times New Roman" w:hAnsi="Times New Roman" w:cs="Times New Roman"/>
        </w:rPr>
        <w:t>Finanční data: Compustat</w:t>
      </w:r>
      <w:r>
        <w:rPr>
          <w:rFonts w:ascii="Times New Roman" w:hAnsi="Times New Roman" w:cs="Times New Roman"/>
        </w:rPr>
        <w:br/>
        <w:t xml:space="preserve">- </w:t>
      </w:r>
      <w:r w:rsidR="00F358E9">
        <w:rPr>
          <w:rFonts w:ascii="Times New Roman" w:hAnsi="Times New Roman" w:cs="Times New Roman"/>
        </w:rPr>
        <w:t>Metodika</w:t>
      </w:r>
      <w:r w:rsidR="00BB374B" w:rsidRPr="00BB374B">
        <w:rPr>
          <w:rFonts w:ascii="Times New Roman" w:hAnsi="Times New Roman" w:cs="Times New Roman"/>
        </w:rPr>
        <w:t xml:space="preserve">: matched-pair design (high vs. low disclosure) + </w:t>
      </w:r>
      <w:r w:rsidR="00BB374B" w:rsidRPr="00901C17">
        <w:rPr>
          <w:rFonts w:ascii="Times New Roman" w:hAnsi="Times New Roman" w:cs="Times New Roman"/>
          <w:b/>
          <w:bCs/>
        </w:rPr>
        <w:t>OLS</w:t>
      </w:r>
      <w:r w:rsidR="00BB374B" w:rsidRPr="00BB374B">
        <w:rPr>
          <w:rFonts w:ascii="Times New Roman" w:hAnsi="Times New Roman" w:cs="Times New Roman"/>
        </w:rPr>
        <w:t xml:space="preserve"> regrese s </w:t>
      </w:r>
      <w:r w:rsidR="00BB374B" w:rsidRPr="00901C17">
        <w:rPr>
          <w:rFonts w:ascii="Times New Roman" w:hAnsi="Times New Roman" w:cs="Times New Roman"/>
          <w:b/>
          <w:bCs/>
        </w:rPr>
        <w:t>fixními efekty</w:t>
      </w:r>
    </w:p>
    <w:p w14:paraId="4E94190A" w14:textId="77777777" w:rsidR="00BB374B" w:rsidRPr="00BB374B" w:rsidRDefault="00BB374B" w:rsidP="00BB374B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BB374B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4. Hlavní zjištění</w:t>
      </w:r>
    </w:p>
    <w:p w14:paraId="63B26CC1" w14:textId="104BAAC2" w:rsidR="00BB374B" w:rsidRPr="00BB374B" w:rsidRDefault="00486F6D" w:rsidP="00BB37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BB374B" w:rsidRPr="00BB374B">
        <w:rPr>
          <w:rFonts w:ascii="Times New Roman" w:hAnsi="Times New Roman" w:cs="Times New Roman"/>
        </w:rPr>
        <w:t>Firmy s většími změnami v risk factors</w:t>
      </w:r>
      <w:r w:rsidR="00F358E9">
        <w:rPr>
          <w:rFonts w:ascii="Times New Roman" w:hAnsi="Times New Roman" w:cs="Times New Roman"/>
        </w:rPr>
        <w:t xml:space="preserve"> </w:t>
      </w:r>
      <w:r w:rsidR="00F358E9" w:rsidRPr="00F358E9">
        <w:rPr>
          <w:rFonts w:ascii="Times New Roman" w:hAnsi="Times New Roman" w:cs="Times New Roman"/>
        </w:rPr>
        <w:t xml:space="preserve">→ </w:t>
      </w:r>
      <w:r w:rsidR="00BB374B" w:rsidRPr="00486F6D">
        <w:rPr>
          <w:rFonts w:ascii="Times New Roman" w:hAnsi="Times New Roman" w:cs="Times New Roman"/>
          <w:b/>
          <w:bCs/>
        </w:rPr>
        <w:t>nižší VRP</w:t>
      </w:r>
      <w:r>
        <w:rPr>
          <w:rFonts w:ascii="Times New Roman" w:hAnsi="Times New Roman" w:cs="Times New Roman"/>
        </w:rPr>
        <w:t xml:space="preserve"> (</w:t>
      </w:r>
      <w:r w:rsidRPr="00486F6D">
        <w:rPr>
          <w:rFonts w:ascii="Times New Roman" w:hAnsi="Times New Roman" w:cs="Times New Roman"/>
          <w:b/>
          <w:bCs/>
        </w:rPr>
        <w:t>hypoteza potvrzena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br/>
        <w:t xml:space="preserve">- </w:t>
      </w:r>
      <w:r w:rsidR="00BB374B" w:rsidRPr="00BB374B">
        <w:rPr>
          <w:rFonts w:ascii="Times New Roman" w:hAnsi="Times New Roman" w:cs="Times New Roman"/>
        </w:rPr>
        <w:t xml:space="preserve">Výsledek </w:t>
      </w:r>
      <w:r w:rsidR="0029245B">
        <w:rPr>
          <w:rFonts w:ascii="Times New Roman" w:hAnsi="Times New Roman" w:cs="Times New Roman"/>
        </w:rPr>
        <w:t>naznačuje</w:t>
      </w:r>
      <w:r w:rsidR="00BB374B" w:rsidRPr="00BB374B">
        <w:rPr>
          <w:rFonts w:ascii="Times New Roman" w:hAnsi="Times New Roman" w:cs="Times New Roman"/>
        </w:rPr>
        <w:t xml:space="preserve"> snížení nejistoty o riziku (uncertainty about </w:t>
      </w:r>
      <w:r w:rsidR="00AA55C9">
        <w:rPr>
          <w:rFonts w:ascii="Times New Roman" w:hAnsi="Times New Roman" w:cs="Times New Roman"/>
        </w:rPr>
        <w:t>risk</w:t>
      </w:r>
      <w:r w:rsidR="00BB374B" w:rsidRPr="00BB374B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br/>
        <w:t xml:space="preserve">- </w:t>
      </w:r>
      <w:r w:rsidR="00BB374B" w:rsidRPr="00BB374B">
        <w:rPr>
          <w:rFonts w:ascii="Times New Roman" w:hAnsi="Times New Roman" w:cs="Times New Roman"/>
        </w:rPr>
        <w:t xml:space="preserve">Efekt </w:t>
      </w:r>
      <w:r w:rsidR="00BB374B" w:rsidRPr="00AA55C9">
        <w:rPr>
          <w:rFonts w:ascii="Times New Roman" w:hAnsi="Times New Roman" w:cs="Times New Roman"/>
          <w:b/>
          <w:bCs/>
        </w:rPr>
        <w:t>přetrvává</w:t>
      </w:r>
      <w:r w:rsidR="00BB374B" w:rsidRPr="00BB374B">
        <w:rPr>
          <w:rFonts w:ascii="Times New Roman" w:hAnsi="Times New Roman" w:cs="Times New Roman"/>
        </w:rPr>
        <w:t xml:space="preserve"> po kontrole účetních, tržních i textových proměnných</w:t>
      </w:r>
      <w:r w:rsidR="00AA55C9">
        <w:rPr>
          <w:rFonts w:ascii="Times New Roman" w:hAnsi="Times New Roman" w:cs="Times New Roman"/>
        </w:rPr>
        <w:t>!!</w:t>
      </w:r>
      <w:r>
        <w:rPr>
          <w:rFonts w:ascii="Times New Roman" w:hAnsi="Times New Roman" w:cs="Times New Roman"/>
        </w:rPr>
        <w:br/>
        <w:t xml:space="preserve">- </w:t>
      </w:r>
      <w:r w:rsidR="00BB374B" w:rsidRPr="000043DF">
        <w:rPr>
          <w:rFonts w:ascii="Times New Roman" w:hAnsi="Times New Roman" w:cs="Times New Roman"/>
          <w:b/>
          <w:bCs/>
        </w:rPr>
        <w:t>Tradiční</w:t>
      </w:r>
      <w:r w:rsidR="00BB374B" w:rsidRPr="00BB374B">
        <w:rPr>
          <w:rFonts w:ascii="Times New Roman" w:hAnsi="Times New Roman" w:cs="Times New Roman"/>
        </w:rPr>
        <w:t xml:space="preserve"> </w:t>
      </w:r>
      <w:r w:rsidR="00BB374B" w:rsidRPr="000043DF">
        <w:rPr>
          <w:rFonts w:ascii="Times New Roman" w:hAnsi="Times New Roman" w:cs="Times New Roman"/>
          <w:b/>
          <w:bCs/>
        </w:rPr>
        <w:t>slovníkové</w:t>
      </w:r>
      <w:r w:rsidR="00BB374B" w:rsidRPr="00BB374B">
        <w:rPr>
          <w:rFonts w:ascii="Times New Roman" w:hAnsi="Times New Roman" w:cs="Times New Roman"/>
        </w:rPr>
        <w:t xml:space="preserve"> </w:t>
      </w:r>
      <w:r w:rsidR="00BB374B" w:rsidRPr="000043DF">
        <w:rPr>
          <w:rFonts w:ascii="Times New Roman" w:hAnsi="Times New Roman" w:cs="Times New Roman"/>
          <w:b/>
          <w:bCs/>
        </w:rPr>
        <w:t>přístupy</w:t>
      </w:r>
      <w:r w:rsidR="00BB374B" w:rsidRPr="00BB374B">
        <w:rPr>
          <w:rFonts w:ascii="Times New Roman" w:hAnsi="Times New Roman" w:cs="Times New Roman"/>
        </w:rPr>
        <w:t xml:space="preserve"> (počty </w:t>
      </w:r>
      <w:r w:rsidR="000043DF">
        <w:rPr>
          <w:rFonts w:ascii="Times New Roman" w:hAnsi="Times New Roman" w:cs="Times New Roman"/>
        </w:rPr>
        <w:t>“</w:t>
      </w:r>
      <w:r w:rsidR="00BB374B" w:rsidRPr="00BB374B">
        <w:rPr>
          <w:rFonts w:ascii="Times New Roman" w:hAnsi="Times New Roman" w:cs="Times New Roman"/>
        </w:rPr>
        <w:t>risk words</w:t>
      </w:r>
      <w:r w:rsidR="000043DF">
        <w:rPr>
          <w:rFonts w:ascii="Times New Roman" w:hAnsi="Times New Roman" w:cs="Times New Roman"/>
        </w:rPr>
        <w:t>”</w:t>
      </w:r>
      <w:r w:rsidR="00BB374B" w:rsidRPr="00BB374B">
        <w:rPr>
          <w:rFonts w:ascii="Times New Roman" w:hAnsi="Times New Roman" w:cs="Times New Roman"/>
        </w:rPr>
        <w:t>) nejsou s VRP významně spojeny</w:t>
      </w:r>
      <w:r w:rsidR="000043DF">
        <w:rPr>
          <w:rFonts w:ascii="Times New Roman" w:hAnsi="Times New Roman" w:cs="Times New Roman"/>
        </w:rPr>
        <w:t xml:space="preserve"> </w:t>
      </w:r>
    </w:p>
    <w:p w14:paraId="4F0315CF" w14:textId="77777777" w:rsidR="00BB374B" w:rsidRPr="00BB374B" w:rsidRDefault="00BB374B" w:rsidP="00BB374B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BB374B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5. Přínos článku</w:t>
      </w:r>
    </w:p>
    <w:p w14:paraId="4C9103C2" w14:textId="4F6C3D49" w:rsidR="00BB374B" w:rsidRPr="00BB374B" w:rsidRDefault="0029245B" w:rsidP="00BB37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BB374B" w:rsidRPr="00BB374B">
        <w:rPr>
          <w:rFonts w:ascii="Times New Roman" w:hAnsi="Times New Roman" w:cs="Times New Roman"/>
        </w:rPr>
        <w:t xml:space="preserve">První přímý empirický test teoretických </w:t>
      </w:r>
      <w:r w:rsidR="00BB374B" w:rsidRPr="00A7382B">
        <w:rPr>
          <w:rFonts w:ascii="Times New Roman" w:hAnsi="Times New Roman" w:cs="Times New Roman"/>
          <w:b/>
          <w:bCs/>
        </w:rPr>
        <w:t>predikcí o risk disclosure</w:t>
      </w:r>
      <w:r>
        <w:rPr>
          <w:rFonts w:ascii="Times New Roman" w:hAnsi="Times New Roman" w:cs="Times New Roman"/>
        </w:rPr>
        <w:br/>
        <w:t xml:space="preserve">- </w:t>
      </w:r>
      <w:r w:rsidR="00BB374B" w:rsidRPr="00BB374B">
        <w:rPr>
          <w:rFonts w:ascii="Times New Roman" w:hAnsi="Times New Roman" w:cs="Times New Roman"/>
        </w:rPr>
        <w:t xml:space="preserve">Zavedení individuálních risk factors jako </w:t>
      </w:r>
      <w:r w:rsidR="00D937E6">
        <w:rPr>
          <w:rFonts w:ascii="Times New Roman" w:hAnsi="Times New Roman" w:cs="Times New Roman"/>
        </w:rPr>
        <w:t>menší</w:t>
      </w:r>
      <w:r w:rsidR="00BB374B" w:rsidRPr="00BB374B">
        <w:rPr>
          <w:rFonts w:ascii="Times New Roman" w:hAnsi="Times New Roman" w:cs="Times New Roman"/>
        </w:rPr>
        <w:t xml:space="preserve"> jednotky textové analýzy</w:t>
      </w:r>
      <w:r>
        <w:rPr>
          <w:rFonts w:ascii="Times New Roman" w:hAnsi="Times New Roman" w:cs="Times New Roman"/>
        </w:rPr>
        <w:br/>
        <w:t xml:space="preserve">- </w:t>
      </w:r>
      <w:r w:rsidR="00BB374B" w:rsidRPr="00BB374B">
        <w:rPr>
          <w:rFonts w:ascii="Times New Roman" w:hAnsi="Times New Roman" w:cs="Times New Roman"/>
        </w:rPr>
        <w:t>Metodický posun oproti agregovaným slovníkovým a word-count přístupům</w:t>
      </w:r>
    </w:p>
    <w:p w14:paraId="724A15F8" w14:textId="77777777" w:rsidR="00BB374B" w:rsidRPr="00BB374B" w:rsidRDefault="00BB374B" w:rsidP="00BB374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B374B">
        <w:rPr>
          <w:rFonts w:ascii="Times New Roman" w:hAnsi="Times New Roman" w:cs="Times New Roman"/>
          <w:b/>
          <w:bCs/>
          <w:sz w:val="26"/>
          <w:szCs w:val="26"/>
        </w:rPr>
        <w:t>6. Vazba na téma bakalářské práce</w:t>
      </w:r>
    </w:p>
    <w:p w14:paraId="7325100A" w14:textId="62BE3EE3" w:rsidR="00BB374B" w:rsidRPr="00BB374B" w:rsidRDefault="0029245B" w:rsidP="00BB37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BB374B" w:rsidRPr="00BB374B">
        <w:rPr>
          <w:rFonts w:ascii="Times New Roman" w:hAnsi="Times New Roman" w:cs="Times New Roman"/>
        </w:rPr>
        <w:t xml:space="preserve">Silná opora pro využití sekce </w:t>
      </w:r>
      <w:r w:rsidR="00BB374B" w:rsidRPr="0029245B">
        <w:rPr>
          <w:rFonts w:ascii="Times New Roman" w:hAnsi="Times New Roman" w:cs="Times New Roman"/>
          <w:b/>
          <w:bCs/>
        </w:rPr>
        <w:t>Risk Factors</w:t>
      </w:r>
      <w:r w:rsidR="00BB374B" w:rsidRPr="00BB374B">
        <w:rPr>
          <w:rFonts w:ascii="Times New Roman" w:hAnsi="Times New Roman" w:cs="Times New Roman"/>
        </w:rPr>
        <w:t xml:space="preserve"> jako klíčového zdroje </w:t>
      </w:r>
      <w:r>
        <w:rPr>
          <w:rFonts w:ascii="Times New Roman" w:hAnsi="Times New Roman" w:cs="Times New Roman"/>
        </w:rPr>
        <w:t>(nebo jednoho z více)</w:t>
      </w:r>
      <w:r>
        <w:rPr>
          <w:rFonts w:ascii="Times New Roman" w:hAnsi="Times New Roman" w:cs="Times New Roman"/>
        </w:rPr>
        <w:br/>
        <w:t xml:space="preserve">- </w:t>
      </w:r>
      <w:r w:rsidR="00BB374B" w:rsidRPr="00BB374B">
        <w:rPr>
          <w:rFonts w:ascii="Times New Roman" w:hAnsi="Times New Roman" w:cs="Times New Roman"/>
        </w:rPr>
        <w:t xml:space="preserve">Podpora práce se </w:t>
      </w:r>
      <w:r w:rsidR="00BB374B" w:rsidRPr="0029245B">
        <w:rPr>
          <w:rFonts w:ascii="Times New Roman" w:hAnsi="Times New Roman" w:cs="Times New Roman"/>
          <w:b/>
          <w:bCs/>
        </w:rPr>
        <w:t>změnami textu v čase</w:t>
      </w:r>
      <w:r w:rsidR="00BB374B" w:rsidRPr="00BB374B">
        <w:rPr>
          <w:rFonts w:ascii="Times New Roman" w:hAnsi="Times New Roman" w:cs="Times New Roman"/>
        </w:rPr>
        <w:t>, nikoli pouze s jeho úrovní</w:t>
      </w:r>
      <w:r>
        <w:rPr>
          <w:rFonts w:ascii="Times New Roman" w:hAnsi="Times New Roman" w:cs="Times New Roman"/>
        </w:rPr>
        <w:br/>
      </w:r>
      <w:r w:rsidR="00CE5E6E">
        <w:rPr>
          <w:rFonts w:ascii="Times New Roman" w:hAnsi="Times New Roman" w:cs="Times New Roman"/>
        </w:rPr>
        <w:t xml:space="preserve">- </w:t>
      </w:r>
      <w:r w:rsidR="00BB374B" w:rsidRPr="00BB374B">
        <w:rPr>
          <w:rFonts w:ascii="Times New Roman" w:hAnsi="Times New Roman" w:cs="Times New Roman"/>
        </w:rPr>
        <w:t>Přímá metodická kompatibilita s pipeline:</w:t>
      </w:r>
      <w:r w:rsidR="00CE5E6E">
        <w:rPr>
          <w:rFonts w:ascii="Times New Roman" w:hAnsi="Times New Roman" w:cs="Times New Roman"/>
        </w:rPr>
        <w:t xml:space="preserve"> </w:t>
      </w:r>
      <w:r w:rsidR="00CE5E6E">
        <w:rPr>
          <w:rFonts w:ascii="Times New Roman" w:hAnsi="Times New Roman" w:cs="Times New Roman"/>
        </w:rPr>
        <w:br/>
        <w:t xml:space="preserve">                     </w:t>
      </w:r>
      <w:r w:rsidR="00BB374B" w:rsidRPr="00BB374B">
        <w:rPr>
          <w:rFonts w:ascii="Times New Roman" w:hAnsi="Times New Roman" w:cs="Times New Roman"/>
        </w:rPr>
        <w:t>EDGAR → extrakce textu → textové rysy → tržní výstupy</w:t>
      </w:r>
    </w:p>
    <w:sectPr w:rsidR="00BB374B" w:rsidRPr="00BB37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10A745" w14:textId="77777777" w:rsidR="00BB374B" w:rsidRDefault="00BB374B" w:rsidP="00BB374B">
      <w:pPr>
        <w:spacing w:after="0" w:line="240" w:lineRule="auto"/>
      </w:pPr>
      <w:r>
        <w:separator/>
      </w:r>
    </w:p>
  </w:endnote>
  <w:endnote w:type="continuationSeparator" w:id="0">
    <w:p w14:paraId="3FAF7D45" w14:textId="77777777" w:rsidR="00BB374B" w:rsidRDefault="00BB374B" w:rsidP="00BB37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771599" w14:textId="77777777" w:rsidR="00BB374B" w:rsidRDefault="00BB374B" w:rsidP="00BB374B">
      <w:pPr>
        <w:spacing w:after="0" w:line="240" w:lineRule="auto"/>
      </w:pPr>
      <w:r>
        <w:separator/>
      </w:r>
    </w:p>
  </w:footnote>
  <w:footnote w:type="continuationSeparator" w:id="0">
    <w:p w14:paraId="2A085318" w14:textId="77777777" w:rsidR="00BB374B" w:rsidRDefault="00BB374B" w:rsidP="00BB374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74B"/>
    <w:rsid w:val="000043DF"/>
    <w:rsid w:val="00006E7C"/>
    <w:rsid w:val="000C6E68"/>
    <w:rsid w:val="001E5203"/>
    <w:rsid w:val="0029245B"/>
    <w:rsid w:val="00292752"/>
    <w:rsid w:val="00334FAA"/>
    <w:rsid w:val="00486F6D"/>
    <w:rsid w:val="005472C8"/>
    <w:rsid w:val="00894BD8"/>
    <w:rsid w:val="00901C17"/>
    <w:rsid w:val="00967A73"/>
    <w:rsid w:val="00A7382B"/>
    <w:rsid w:val="00A83582"/>
    <w:rsid w:val="00AA55C9"/>
    <w:rsid w:val="00BB374B"/>
    <w:rsid w:val="00CA3BF0"/>
    <w:rsid w:val="00CE5E6E"/>
    <w:rsid w:val="00D937E6"/>
    <w:rsid w:val="00F358E9"/>
    <w:rsid w:val="00F60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DC02789"/>
  <w15:chartTrackingRefBased/>
  <w15:docId w15:val="{CBF60F68-B1C7-BD48-B604-99EE57D1E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37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37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7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7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7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7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7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7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7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7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37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7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7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7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7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7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7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7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7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37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7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37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37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7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7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7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7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7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74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B37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374B"/>
  </w:style>
  <w:style w:type="paragraph" w:styleId="Footer">
    <w:name w:val="footer"/>
    <w:basedOn w:val="Normal"/>
    <w:link w:val="FooterChar"/>
    <w:uiPriority w:val="99"/>
    <w:unhideWhenUsed/>
    <w:rsid w:val="00BB37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37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301</Words>
  <Characters>1720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Šimon Slánský</dc:creator>
  <cp:keywords/>
  <dc:description/>
  <cp:lastModifiedBy>Šimon Slánský</cp:lastModifiedBy>
  <cp:revision>7</cp:revision>
  <dcterms:created xsi:type="dcterms:W3CDTF">2026-01-29T07:55:00Z</dcterms:created>
  <dcterms:modified xsi:type="dcterms:W3CDTF">2026-01-29T09:07:00Z</dcterms:modified>
</cp:coreProperties>
</file>