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410"/>
          <w:sz w:val="60"/>
          <w:szCs w:val="60"/>
        </w:rPr>
        <w:t xml:space="preserve">Hue AI</w:t>
      </w:r>
    </w:p>
    <w:p>
      <w:pPr>
        <w:spacing w:after="60" w:before="0"/>
      </w:pPr>
      <w:r>
        <w:rPr>
          <w:rFonts w:ascii="Arial" w:cs="Arial" w:eastAsia="Arial" w:hAnsi="Arial"/>
          <w:b/>
          <w:bCs/>
          <w:color w:val="D92010"/>
          <w:sz w:val="28"/>
          <w:szCs w:val="28"/>
        </w:rPr>
        <w:t xml:space="preserve">■ </w:t>
      </w:r>
      <w:r>
        <w:rPr>
          <w:rFonts w:ascii="Arial" w:cs="Arial" w:eastAsia="Arial" w:hAnsi="Arial"/>
          <w:b/>
          <w:bCs/>
          <w:color w:val="C8A800"/>
          <w:sz w:val="28"/>
          <w:szCs w:val="28"/>
        </w:rPr>
        <w:t xml:space="preserve">■ </w:t>
      </w:r>
      <w:r>
        <w:rPr>
          <w:rFonts w:ascii="Arial" w:cs="Arial" w:eastAsia="Arial" w:hAnsi="Arial"/>
          <w:b/>
          <w:bCs/>
          <w:color w:val="1A8C4E"/>
          <w:sz w:val="28"/>
          <w:szCs w:val="28"/>
        </w:rPr>
        <w:t xml:space="preserve">■ </w:t>
      </w:r>
      <w:r>
        <w:rPr>
          <w:rFonts w:ascii="Arial" w:cs="Arial" w:eastAsia="Arial" w:hAnsi="Arial"/>
          <w:b/>
          <w:bCs/>
          <w:color w:val="1755B8"/>
          <w:sz w:val="28"/>
          <w:szCs w:val="28"/>
        </w:rPr>
        <w:t xml:space="preserve">■ </w:t>
      </w:r>
    </w:p>
    <w:p>
      <w:pPr>
        <w:spacing w:after="200" w:before="0"/>
      </w:pPr>
      <w:r>
        <w:rPr>
          <w:rFonts w:ascii="Arial" w:cs="Arial" w:eastAsia="Arial" w:hAnsi="Arial"/>
          <w:color w:val="9B8E7E"/>
          <w:sz w:val="30"/>
          <w:szCs w:val="30"/>
        </w:rPr>
        <w:t xml:space="preserve">Psychological &amp; Theoretical Foundations</w:t>
      </w:r>
    </w:p>
    <w:p>
      <w:pPr>
        <w:spacing w:after="60" w:before="0"/>
      </w:pPr>
      <w:r>
        <w:rPr>
          <w:rFonts w:ascii="Arial" w:cs="Arial" w:eastAsia="Arial" w:hAnsi="Arial"/>
          <w:color w:val="9B8E7E"/>
          <w:sz w:val="20"/>
          <w:szCs w:val="20"/>
        </w:rPr>
        <w:t xml:space="preserve">hue-psychology-foundations-v1  ·  Last updated: April 2026</w:t>
      </w:r>
    </w:p>
    <w:p>
      <w:pPr>
        <w:pBdr>
          <w:bottom w:val="single" w:color="E8DFC8" w:sz="4"/>
        </w:pBdr>
        <w:spacing w:after="240" w:before="240"/>
      </w:pPr>
    </w:p>
    <w:p>
      <w:pPr>
        <w:spacing w:after="120" w:before="80" w:line="300"/>
      </w:pPr>
      <w:r>
        <w:rPr>
          <w:rFonts w:ascii="Arial" w:cs="Arial" w:eastAsia="Arial" w:hAnsi="Arial"/>
          <w:i/>
          <w:iCs/>
          <w:color w:val="9B8E7E"/>
          <w:sz w:val="21"/>
          <w:szCs w:val="21"/>
        </w:rPr>
        <w:t xml:space="preserve">Every assessment conversation, observation, and language decision in Hue should be traceable to the frameworks and texts in this document. This is not background reading — it is a design constraint.</w:t>
      </w:r>
    </w:p>
    <w:p>
      <w:pPr>
        <w:pBdr>
          <w:bottom w:val="single" w:color="E8DFC8" w:sz="4"/>
        </w:pBdr>
        <w:spacing w:after="240" w:before="240"/>
      </w:pPr>
    </w:p>
    <w:p>
      <w:pPr>
        <w:pStyle w:val="Heading1"/>
        <w:spacing w:after="160" w:before="400"/>
      </w:pPr>
      <w:r>
        <w:rPr>
          <w:rFonts w:ascii="Arial" w:cs="Arial" w:eastAsia="Arial" w:hAnsi="Arial"/>
          <w:b/>
          <w:bCs/>
          <w:color w:val="1A1410"/>
          <w:sz w:val="36"/>
          <w:szCs w:val="36"/>
        </w:rPr>
        <w:t xml:space="preserve">1. Overview — The Theoretical Stack</w:t>
      </w:r>
    </w:p>
    <w:p>
      <w:pPr>
        <w:spacing w:after="120" w:before="80" w:line="320"/>
      </w:pPr>
      <w:r>
        <w:rPr>
          <w:rFonts w:ascii="Arial" w:cs="Arial" w:eastAsia="Arial" w:hAnsi="Arial"/>
          <w:color w:val="1A1410"/>
          <w:sz w:val="22"/>
          <w:szCs w:val="22"/>
        </w:rPr>
        <w:t xml:space="preserve">Hue’s methodology rests on a coherent stack of psychological theory spanning Jungian analytical psychology, constructive-developmental theory, occupational psychology, and contemporary behavioural science. The stack is not a collection of borrowed credibility. Each text is cited because it directly explains a design decision.</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Theoretical layer</w:t>
            </w:r>
          </w:p>
        </w:tc>
        <w:tc>
          <w:tcPr>
            <w:tcW w:type="dxa" w:w="5226"/>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What it grounds in Hue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Jungian analytical psychology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The four energy framework, the flex mechanic, the inferior function as growth frontier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Type development theory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The longitudinal profile, the retest model, why profiles shift meaningfully over time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Constructive-developmental theory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Why the practice layer is developmentally meaningful, not just habitual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Occupational psychology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The behavioural assessment approach, why conversation outperforms questionnaire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Motivation theory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The organisational team dashboard, the gap radar, B2B ROI framing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Behavioural science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The language philosophy, the flex challenge design, the System 1/2 distinction</w:t>
            </w:r>
          </w:p>
        </w:tc>
      </w:tr>
    </w:tbl>
    <w:p>
      <w:pPr>
        <w:pBdr>
          <w:bottom w:val="single" w:color="E8DFC8" w:sz="4"/>
        </w:pBdr>
        <w:spacing w:after="240" w:before="240"/>
      </w:pPr>
    </w:p>
    <w:p>
      <w:pPr>
        <w:pStyle w:val="Heading1"/>
        <w:spacing w:after="160" w:before="400"/>
      </w:pPr>
      <w:r>
        <w:rPr>
          <w:rFonts w:ascii="Arial" w:cs="Arial" w:eastAsia="Arial" w:hAnsi="Arial"/>
          <w:b/>
          <w:bCs/>
          <w:color w:val="1A1410"/>
          <w:sz w:val="36"/>
          <w:szCs w:val="36"/>
        </w:rPr>
        <w:t xml:space="preserve">2. Core Texts — Annotated</w:t>
      </w:r>
    </w:p>
    <w:p>
      <w:pPr>
        <w:pStyle w:val="Heading2"/>
        <w:spacing w:after="120" w:before="280"/>
      </w:pPr>
      <w:r>
        <w:rPr>
          <w:rFonts w:ascii="Arial" w:cs="Arial" w:eastAsia="Arial" w:hAnsi="Arial"/>
          <w:b/>
          <w:bCs/>
          <w:color w:val="1A1410"/>
          <w:sz w:val="26"/>
          <w:szCs w:val="26"/>
        </w:rPr>
        <w:t xml:space="preserve">Jungian Foundations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left w:val="none"/>
              <w:bottom w:val="none"/>
              <w:right w:val="none"/>
            </w:tcBorders>
            <w:shd w:fill="F5F3EE" w:val="clear"/>
            <w:tcMar>
              <w:top w:type="dxa" w:w="80"/>
              <w:left w:type="dxa" w:w="0"/>
              <w:bottom w:type="dxa" w:w="80"/>
              <w:right w:type="dxa" w:w="160"/>
            </w:tcMar>
          </w:tcPr>
          <w:p>
            <w:r>
              <w:rPr>
                <w:rFonts w:ascii="Arial" w:cs="Arial" w:eastAsia="Arial" w:hAnsi="Arial"/>
                <w:b/>
                <w:bCs/>
                <w:color w:val="1A1410"/>
                <w:sz w:val="20"/>
                <w:szCs w:val="20"/>
              </w:rPr>
              <w:t xml:space="preserve">Carl Jung</w:t>
            </w:r>
          </w:p>
          <w:p>
            <w:r>
              <w:rPr>
                <w:rFonts w:ascii="Arial" w:cs="Arial" w:eastAsia="Arial" w:hAnsi="Arial"/>
                <w:i/>
                <w:iCs/>
                <w:color w:val="9B8E7E"/>
                <w:sz w:val="19"/>
                <w:szCs w:val="19"/>
              </w:rPr>
              <w:t xml:space="preserve">Psychological Types</w:t>
            </w:r>
          </w:p>
          <w:p>
            <w:r>
              <w:rPr>
                <w:rFonts w:ascii="Arial" w:cs="Arial" w:eastAsia="Arial" w:hAnsi="Arial"/>
                <w:color w:val="9B8E7E"/>
                <w:sz w:val="18"/>
                <w:szCs w:val="18"/>
              </w:rPr>
              <w:t xml:space="preserve">1921</w:t>
            </w:r>
          </w:p>
        </w:tc>
        <w:tc>
          <w:tcPr>
            <w:tcW w:type="dxa" w:w="7026"/>
            <w:tcBorders>
              <w:top w:val="none"/>
              <w:left w:val="single" w:color="E8DFC8" w:sz="4"/>
              <w:bottom w:val="none"/>
              <w:right w:val="none"/>
            </w:tcBorders>
            <w:tcMar>
              <w:top w:type="dxa" w:w="80"/>
              <w:left w:type="dxa" w:w="160"/>
              <w:bottom w:type="dxa" w:w="80"/>
              <w:right w:type="dxa" w:w="0"/>
            </w:tcMar>
          </w:tcPr>
          <w:p>
            <w:pPr>
              <w:spacing w:line="300"/>
            </w:pPr>
            <w:r>
              <w:rPr>
                <w:rFonts w:ascii="Arial" w:cs="Arial" w:eastAsia="Arial" w:hAnsi="Arial"/>
                <w:color w:val="1A1410"/>
                <w:sz w:val="20"/>
                <w:szCs w:val="20"/>
              </w:rPr>
              <w:t xml:space="preserve">The foundational text. Jung’s four psychological functions and two attitude types are the direct ancestor of Hue’s four energy model. Critically, Jung defined psychological type as a habitual attitude — a tendency and preference, not a fixed capability. This is the theoretical basis for Hue’s language philosophy (“tends toward” not “is”). Jung also introduced the inferior function — the least preferred energy, not absent but underdeveloped and accessible through deliberate effort — the foundation for the flex mechanic.</w:t>
            </w:r>
          </w:p>
        </w:tc>
      </w:tr>
    </w:tbl>
    <w:p>
      <w:pPr>
        <w:spacing w:after="80" w:before="80"/>
      </w:pPr>
    </w:p>
    <w:p>
      <w:pPr>
        <w:spacing w:after="120" w:before="80" w:line="300"/>
      </w:pPr>
      <w:r>
        <w:rPr>
          <w:rFonts w:ascii="Arial" w:cs="Arial" w:eastAsia="Arial" w:hAnsi="Arial"/>
          <w:i/>
          <w:iCs/>
          <w:color w:val="9B8E7E"/>
          <w:sz w:val="21"/>
          <w:szCs w:val="21"/>
        </w:rPr>
        <w:t xml:space="preserve">“There is no such thing as a pure extravert or a pure introvert. Such a man would be in the lunatic asylum.” — Jung. Energies are tendencies on a spectrum, never absolutes.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left w:val="none"/>
              <w:bottom w:val="none"/>
              <w:right w:val="none"/>
            </w:tcBorders>
            <w:shd w:fill="F5F3EE" w:val="clear"/>
            <w:tcMar>
              <w:top w:type="dxa" w:w="80"/>
              <w:left w:type="dxa" w:w="0"/>
              <w:bottom w:type="dxa" w:w="80"/>
              <w:right w:type="dxa" w:w="160"/>
            </w:tcMar>
          </w:tcPr>
          <w:p>
            <w:r>
              <w:rPr>
                <w:rFonts w:ascii="Arial" w:cs="Arial" w:eastAsia="Arial" w:hAnsi="Arial"/>
                <w:b/>
                <w:bCs/>
                <w:color w:val="1A1410"/>
                <w:sz w:val="20"/>
                <w:szCs w:val="20"/>
              </w:rPr>
              <w:t xml:space="preserve">Isabel Briggs Myers</w:t>
            </w:r>
          </w:p>
          <w:p>
            <w:r>
              <w:rPr>
                <w:rFonts w:ascii="Arial" w:cs="Arial" w:eastAsia="Arial" w:hAnsi="Arial"/>
                <w:i/>
                <w:iCs/>
                <w:color w:val="9B8E7E"/>
                <w:sz w:val="19"/>
                <w:szCs w:val="19"/>
              </w:rPr>
              <w:t xml:space="preserve">Gifts Differing</w:t>
            </w:r>
          </w:p>
          <w:p>
            <w:r>
              <w:rPr>
                <w:rFonts w:ascii="Arial" w:cs="Arial" w:eastAsia="Arial" w:hAnsi="Arial"/>
                <w:color w:val="9B8E7E"/>
                <w:sz w:val="18"/>
                <w:szCs w:val="18"/>
              </w:rPr>
              <w:t xml:space="preserve">1980</w:t>
            </w:r>
          </w:p>
        </w:tc>
        <w:tc>
          <w:tcPr>
            <w:tcW w:type="dxa" w:w="7026"/>
            <w:tcBorders>
              <w:top w:val="none"/>
              <w:left w:val="single" w:color="E8DFC8" w:sz="4"/>
              <w:bottom w:val="none"/>
              <w:right w:val="none"/>
            </w:tcBorders>
            <w:tcMar>
              <w:top w:type="dxa" w:w="80"/>
              <w:left w:type="dxa" w:w="160"/>
              <w:bottom w:type="dxa" w:w="80"/>
              <w:right w:type="dxa" w:w="0"/>
            </w:tcMar>
          </w:tcPr>
          <w:p>
            <w:pPr>
              <w:spacing w:line="300"/>
            </w:pPr>
            <w:r>
              <w:rPr>
                <w:rFonts w:ascii="Arial" w:cs="Arial" w:eastAsia="Arial" w:hAnsi="Arial"/>
                <w:color w:val="1A1410"/>
                <w:sz w:val="20"/>
                <w:szCs w:val="20"/>
              </w:rPr>
              <w:t xml:space="preserve">Myers introduced the concept of type development over time — that people develop their type expression across their lifespan. This is the direct theoretical ancestor of Hue’s longitudinal model. Myers also emphasised that each type has characteristic gifts — strengths arising from preference, not superiority — grounding Hue’s philosophy that no energy is better than another.</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left w:val="none"/>
              <w:bottom w:val="none"/>
              <w:right w:val="none"/>
            </w:tcBorders>
            <w:shd w:fill="F5F3EE" w:val="clear"/>
            <w:tcMar>
              <w:top w:type="dxa" w:w="80"/>
              <w:left w:type="dxa" w:w="0"/>
              <w:bottom w:type="dxa" w:w="80"/>
              <w:right w:type="dxa" w:w="160"/>
            </w:tcMar>
          </w:tcPr>
          <w:p>
            <w:r>
              <w:rPr>
                <w:rFonts w:ascii="Arial" w:cs="Arial" w:eastAsia="Arial" w:hAnsi="Arial"/>
                <w:b/>
                <w:bCs/>
                <w:color w:val="1A1410"/>
                <w:sz w:val="20"/>
                <w:szCs w:val="20"/>
              </w:rPr>
              <w:t xml:space="preserve">John Beebe</w:t>
            </w:r>
          </w:p>
          <w:p>
            <w:r>
              <w:rPr>
                <w:rFonts w:ascii="Arial" w:cs="Arial" w:eastAsia="Arial" w:hAnsi="Arial"/>
                <w:i/>
                <w:iCs/>
                <w:color w:val="9B8E7E"/>
                <w:sz w:val="19"/>
                <w:szCs w:val="19"/>
              </w:rPr>
              <w:t xml:space="preserve">Integrity in Depth</w:t>
            </w:r>
          </w:p>
          <w:p>
            <w:r>
              <w:rPr>
                <w:rFonts w:ascii="Arial" w:cs="Arial" w:eastAsia="Arial" w:hAnsi="Arial"/>
                <w:color w:val="9B8E7E"/>
                <w:sz w:val="18"/>
                <w:szCs w:val="18"/>
              </w:rPr>
              <w:t xml:space="preserve">1992</w:t>
            </w:r>
          </w:p>
        </w:tc>
        <w:tc>
          <w:tcPr>
            <w:tcW w:type="dxa" w:w="7026"/>
            <w:tcBorders>
              <w:top w:val="none"/>
              <w:left w:val="single" w:color="E8DFC8" w:sz="4"/>
              <w:bottom w:val="none"/>
              <w:right w:val="none"/>
            </w:tcBorders>
            <w:tcMar>
              <w:top w:type="dxa" w:w="80"/>
              <w:left w:type="dxa" w:w="160"/>
              <w:bottom w:type="dxa" w:w="80"/>
              <w:right w:type="dxa" w:w="0"/>
            </w:tcMar>
          </w:tcPr>
          <w:p>
            <w:pPr>
              <w:spacing w:line="300"/>
            </w:pPr>
            <w:r>
              <w:rPr>
                <w:rFonts w:ascii="Arial" w:cs="Arial" w:eastAsia="Arial" w:hAnsi="Arial"/>
                <w:color w:val="1A1410"/>
                <w:sz w:val="20"/>
                <w:szCs w:val="20"/>
              </w:rPr>
              <w:t xml:space="preserve">Beebe’s work on how type expression shifts under stress and through development is directly relevant to Hue’s retest mechanic and accountability layer in reassessment. His concept of type as a moral framework — that developing all functions is an ethical aspiration — gives philosophical depth to Hue’s insistence that all four energies are always accessible.</w:t>
            </w:r>
          </w:p>
        </w:tc>
      </w:tr>
    </w:tbl>
    <w:p>
      <w:pPr>
        <w:spacing w:after="80" w:before="80"/>
      </w:pPr>
    </w:p>
    <w:p>
      <w:pPr>
        <w:pStyle w:val="Heading2"/>
        <w:spacing w:after="120" w:before="280"/>
      </w:pPr>
      <w:r>
        <w:rPr>
          <w:rFonts w:ascii="Arial" w:cs="Arial" w:eastAsia="Arial" w:hAnsi="Arial"/>
          <w:b/>
          <w:bCs/>
          <w:color w:val="1A1410"/>
          <w:sz w:val="26"/>
          <w:szCs w:val="26"/>
        </w:rPr>
        <w:t xml:space="preserve">Constructive-Developmental Theory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left w:val="none"/>
              <w:bottom w:val="none"/>
              <w:right w:val="none"/>
            </w:tcBorders>
            <w:shd w:fill="F5F3EE" w:val="clear"/>
            <w:tcMar>
              <w:top w:type="dxa" w:w="80"/>
              <w:left w:type="dxa" w:w="0"/>
              <w:bottom w:type="dxa" w:w="80"/>
              <w:right w:type="dxa" w:w="160"/>
            </w:tcMar>
          </w:tcPr>
          <w:p>
            <w:r>
              <w:rPr>
                <w:rFonts w:ascii="Arial" w:cs="Arial" w:eastAsia="Arial" w:hAnsi="Arial"/>
                <w:b/>
                <w:bCs/>
                <w:color w:val="1A1410"/>
                <w:sz w:val="20"/>
                <w:szCs w:val="20"/>
              </w:rPr>
              <w:t xml:space="preserve">Jane Loevinger</w:t>
            </w:r>
          </w:p>
          <w:p>
            <w:r>
              <w:rPr>
                <w:rFonts w:ascii="Arial" w:cs="Arial" w:eastAsia="Arial" w:hAnsi="Arial"/>
                <w:i/>
                <w:iCs/>
                <w:color w:val="9B8E7E"/>
                <w:sz w:val="19"/>
                <w:szCs w:val="19"/>
              </w:rPr>
              <w:t xml:space="preserve">Ego Development</w:t>
            </w:r>
          </w:p>
          <w:p>
            <w:r>
              <w:rPr>
                <w:rFonts w:ascii="Arial" w:cs="Arial" w:eastAsia="Arial" w:hAnsi="Arial"/>
                <w:color w:val="9B8E7E"/>
                <w:sz w:val="18"/>
                <w:szCs w:val="18"/>
              </w:rPr>
              <w:t xml:space="preserve">1976</w:t>
            </w:r>
          </w:p>
        </w:tc>
        <w:tc>
          <w:tcPr>
            <w:tcW w:type="dxa" w:w="7026"/>
            <w:tcBorders>
              <w:top w:val="none"/>
              <w:left w:val="single" w:color="E8DFC8" w:sz="4"/>
              <w:bottom w:val="none"/>
              <w:right w:val="none"/>
            </w:tcBorders>
            <w:tcMar>
              <w:top w:type="dxa" w:w="80"/>
              <w:left w:type="dxa" w:w="160"/>
              <w:bottom w:type="dxa" w:w="80"/>
              <w:right w:type="dxa" w:w="0"/>
            </w:tcMar>
          </w:tcPr>
          <w:p>
            <w:pPr>
              <w:spacing w:line="300"/>
            </w:pPr>
            <w:r>
              <w:rPr>
                <w:rFonts w:ascii="Arial" w:cs="Arial" w:eastAsia="Arial" w:hAnsi="Arial"/>
                <w:color w:val="1A1410"/>
                <w:sz w:val="20"/>
                <w:szCs w:val="20"/>
              </w:rPr>
              <w:t xml:space="preserve">Loevinger’s stages of ego development describe how people’s relationship to their own psychological patterns changes as they mature. At earlier stages, type is experienced as fixed identity. At later stages it is experienced as a tendency the individual can observe and deliberately work with — mapping precisely onto Hue’s philosophy that energies are preferences not traits.</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left w:val="none"/>
              <w:bottom w:val="none"/>
              <w:right w:val="none"/>
            </w:tcBorders>
            <w:shd w:fill="F5F3EE" w:val="clear"/>
            <w:tcMar>
              <w:top w:type="dxa" w:w="80"/>
              <w:left w:type="dxa" w:w="0"/>
              <w:bottom w:type="dxa" w:w="80"/>
              <w:right w:type="dxa" w:w="160"/>
            </w:tcMar>
          </w:tcPr>
          <w:p>
            <w:r>
              <w:rPr>
                <w:rFonts w:ascii="Arial" w:cs="Arial" w:eastAsia="Arial" w:hAnsi="Arial"/>
                <w:b/>
                <w:bCs/>
                <w:color w:val="1A1410"/>
                <w:sz w:val="20"/>
                <w:szCs w:val="20"/>
              </w:rPr>
              <w:t xml:space="preserve">Robert Kegan</w:t>
            </w:r>
          </w:p>
          <w:p>
            <w:r>
              <w:rPr>
                <w:rFonts w:ascii="Arial" w:cs="Arial" w:eastAsia="Arial" w:hAnsi="Arial"/>
                <w:i/>
                <w:iCs/>
                <w:color w:val="9B8E7E"/>
                <w:sz w:val="19"/>
                <w:szCs w:val="19"/>
              </w:rPr>
              <w:t xml:space="preserve">The Evolving Self</w:t>
            </w:r>
          </w:p>
          <w:p>
            <w:r>
              <w:rPr>
                <w:rFonts w:ascii="Arial" w:cs="Arial" w:eastAsia="Arial" w:hAnsi="Arial"/>
                <w:color w:val="9B8E7E"/>
                <w:sz w:val="18"/>
                <w:szCs w:val="18"/>
              </w:rPr>
              <w:t xml:space="preserve">1982</w:t>
            </w:r>
          </w:p>
        </w:tc>
        <w:tc>
          <w:tcPr>
            <w:tcW w:type="dxa" w:w="7026"/>
            <w:tcBorders>
              <w:top w:val="none"/>
              <w:left w:val="single" w:color="E8DFC8" w:sz="4"/>
              <w:bottom w:val="none"/>
              <w:right w:val="none"/>
            </w:tcBorders>
            <w:tcMar>
              <w:top w:type="dxa" w:w="80"/>
              <w:left w:type="dxa" w:w="160"/>
              <w:bottom w:type="dxa" w:w="80"/>
              <w:right w:type="dxa" w:w="0"/>
            </w:tcMar>
          </w:tcPr>
          <w:p>
            <w:pPr>
              <w:spacing w:line="300"/>
            </w:pPr>
            <w:r>
              <w:rPr>
                <w:rFonts w:ascii="Arial" w:cs="Arial" w:eastAsia="Arial" w:hAnsi="Arial"/>
                <w:color w:val="1A1410"/>
                <w:sz w:val="20"/>
                <w:szCs w:val="20"/>
              </w:rPr>
              <w:t xml:space="preserve">Kegan’s subject-object model — what you are subject to at one stage becomes object at the next — is the theoretical underpinning of why Hue’s longitudinal profile is developmentally meaningful. People who can observe their energy tendencies as tendencies are operating at a more developed stage. Hue’s practice layer facilitates this shift.</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left w:val="none"/>
              <w:bottom w:val="none"/>
              <w:right w:val="none"/>
            </w:tcBorders>
            <w:shd w:fill="F5F3EE" w:val="clear"/>
            <w:tcMar>
              <w:top w:type="dxa" w:w="80"/>
              <w:left w:type="dxa" w:w="0"/>
              <w:bottom w:type="dxa" w:w="80"/>
              <w:right w:type="dxa" w:w="160"/>
            </w:tcMar>
          </w:tcPr>
          <w:p>
            <w:r>
              <w:rPr>
                <w:rFonts w:ascii="Arial" w:cs="Arial" w:eastAsia="Arial" w:hAnsi="Arial"/>
                <w:b/>
                <w:bCs/>
                <w:color w:val="1A1410"/>
                <w:sz w:val="20"/>
                <w:szCs w:val="20"/>
              </w:rPr>
              <w:t xml:space="preserve">Robert Kegan</w:t>
            </w:r>
          </w:p>
          <w:p>
            <w:r>
              <w:rPr>
                <w:rFonts w:ascii="Arial" w:cs="Arial" w:eastAsia="Arial" w:hAnsi="Arial"/>
                <w:i/>
                <w:iCs/>
                <w:color w:val="9B8E7E"/>
                <w:sz w:val="19"/>
                <w:szCs w:val="19"/>
              </w:rPr>
              <w:t xml:space="preserve">In Over Our Heads</w:t>
            </w:r>
          </w:p>
          <w:p>
            <w:r>
              <w:rPr>
                <w:rFonts w:ascii="Arial" w:cs="Arial" w:eastAsia="Arial" w:hAnsi="Arial"/>
                <w:color w:val="9B8E7E"/>
                <w:sz w:val="18"/>
                <w:szCs w:val="18"/>
              </w:rPr>
              <w:t xml:space="preserve">1994</w:t>
            </w:r>
          </w:p>
        </w:tc>
        <w:tc>
          <w:tcPr>
            <w:tcW w:type="dxa" w:w="7026"/>
            <w:tcBorders>
              <w:top w:val="none"/>
              <w:left w:val="single" w:color="E8DFC8" w:sz="4"/>
              <w:bottom w:val="none"/>
              <w:right w:val="none"/>
            </w:tcBorders>
            <w:tcMar>
              <w:top w:type="dxa" w:w="80"/>
              <w:left w:type="dxa" w:w="160"/>
              <w:bottom w:type="dxa" w:w="80"/>
              <w:right w:type="dxa" w:w="0"/>
            </w:tcMar>
          </w:tcPr>
          <w:p>
            <w:pPr>
              <w:spacing w:line="300"/>
            </w:pPr>
            <w:r>
              <w:rPr>
                <w:rFonts w:ascii="Arial" w:cs="Arial" w:eastAsia="Arial" w:hAnsi="Arial"/>
                <w:color w:val="1A1410"/>
                <w:sz w:val="20"/>
                <w:szCs w:val="20"/>
              </w:rPr>
              <w:t xml:space="preserve">Extends the developmental model into adult professional life. The demands of modern organisational life require self-authorship that most adults have not yet developed. Hue’s companion supports this explicitly. The energy awareness prompt is a Kegan-grounded developmental intervention, not a mood tracker.</w:t>
            </w:r>
          </w:p>
        </w:tc>
      </w:tr>
    </w:tbl>
    <w:p>
      <w:pPr>
        <w:spacing w:after="80" w:before="80"/>
      </w:pPr>
    </w:p>
    <w:p>
      <w:pPr>
        <w:pStyle w:val="Heading2"/>
        <w:spacing w:after="120" w:before="280"/>
      </w:pPr>
      <w:r>
        <w:rPr>
          <w:rFonts w:ascii="Arial" w:cs="Arial" w:eastAsia="Arial" w:hAnsi="Arial"/>
          <w:b/>
          <w:bCs/>
          <w:color w:val="1A1410"/>
          <w:sz w:val="26"/>
          <w:szCs w:val="26"/>
        </w:rPr>
        <w:t xml:space="preserve">Occupational Psychology — Assessment Methodology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left w:val="none"/>
              <w:bottom w:val="none"/>
              <w:right w:val="none"/>
            </w:tcBorders>
            <w:shd w:fill="F5F3EE" w:val="clear"/>
            <w:tcMar>
              <w:top w:type="dxa" w:w="80"/>
              <w:left w:type="dxa" w:w="0"/>
              <w:bottom w:type="dxa" w:w="80"/>
              <w:right w:type="dxa" w:w="160"/>
            </w:tcMar>
          </w:tcPr>
          <w:p>
            <w:r>
              <w:rPr>
                <w:rFonts w:ascii="Arial" w:cs="Arial" w:eastAsia="Arial" w:hAnsi="Arial"/>
                <w:b/>
                <w:bCs/>
                <w:color w:val="1A1410"/>
                <w:sz w:val="20"/>
                <w:szCs w:val="20"/>
              </w:rPr>
              <w:t xml:space="preserve">Walter Mischel</w:t>
            </w:r>
          </w:p>
          <w:p>
            <w:r>
              <w:rPr>
                <w:rFonts w:ascii="Arial" w:cs="Arial" w:eastAsia="Arial" w:hAnsi="Arial"/>
                <w:i/>
                <w:iCs/>
                <w:color w:val="9B8E7E"/>
                <w:sz w:val="19"/>
                <w:szCs w:val="19"/>
              </w:rPr>
              <w:t xml:space="preserve">Personality and Assessment</w:t>
            </w:r>
          </w:p>
          <w:p>
            <w:r>
              <w:rPr>
                <w:rFonts w:ascii="Arial" w:cs="Arial" w:eastAsia="Arial" w:hAnsi="Arial"/>
                <w:color w:val="9B8E7E"/>
                <w:sz w:val="18"/>
                <w:szCs w:val="18"/>
              </w:rPr>
              <w:t xml:space="preserve">1968</w:t>
            </w:r>
          </w:p>
        </w:tc>
        <w:tc>
          <w:tcPr>
            <w:tcW w:type="dxa" w:w="7026"/>
            <w:tcBorders>
              <w:top w:val="none"/>
              <w:left w:val="single" w:color="E8DFC8" w:sz="4"/>
              <w:bottom w:val="none"/>
              <w:right w:val="none"/>
            </w:tcBorders>
            <w:tcMar>
              <w:top w:type="dxa" w:w="80"/>
              <w:left w:type="dxa" w:w="160"/>
              <w:bottom w:type="dxa" w:w="80"/>
              <w:right w:type="dxa" w:w="0"/>
            </w:tcMar>
          </w:tcPr>
          <w:p>
            <w:pPr>
              <w:spacing w:line="300"/>
            </w:pPr>
            <w:r>
              <w:rPr>
                <w:rFonts w:ascii="Arial" w:cs="Arial" w:eastAsia="Arial" w:hAnsi="Arial"/>
                <w:color w:val="1A1410"/>
                <w:sz w:val="20"/>
                <w:szCs w:val="20"/>
              </w:rPr>
              <w:t xml:space="preserve">The foundational critique of questionnaire-based assessment. Mischel argued that behaviour is more reliably predicted by situational and behavioural observation than by self-report, because questionnaire responses are subject to social desirability bias, retrospective distortion, and forced-choice artefacts. This is the most important methodological argument for Hue’s conversational model. Hue’s behavioural questions (“what did you do” not “what would you prefer”) are a direct implementation.</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left w:val="none"/>
              <w:bottom w:val="none"/>
              <w:right w:val="none"/>
            </w:tcBorders>
            <w:shd w:fill="F5F3EE" w:val="clear"/>
            <w:tcMar>
              <w:top w:type="dxa" w:w="80"/>
              <w:left w:type="dxa" w:w="0"/>
              <w:bottom w:type="dxa" w:w="80"/>
              <w:right w:type="dxa" w:w="160"/>
            </w:tcMar>
          </w:tcPr>
          <w:p>
            <w:r>
              <w:rPr>
                <w:rFonts w:ascii="Arial" w:cs="Arial" w:eastAsia="Arial" w:hAnsi="Arial"/>
                <w:b/>
                <w:bCs/>
                <w:color w:val="1A1410"/>
                <w:sz w:val="20"/>
                <w:szCs w:val="20"/>
              </w:rPr>
              <w:t xml:space="preserve">Samuel Gosling</w:t>
            </w:r>
          </w:p>
          <w:p>
            <w:r>
              <w:rPr>
                <w:rFonts w:ascii="Arial" w:cs="Arial" w:eastAsia="Arial" w:hAnsi="Arial"/>
                <w:i/>
                <w:iCs/>
                <w:color w:val="9B8E7E"/>
                <w:sz w:val="19"/>
                <w:szCs w:val="19"/>
              </w:rPr>
              <w:t xml:space="preserve">Snoop</w:t>
            </w:r>
          </w:p>
          <w:p>
            <w:r>
              <w:rPr>
                <w:rFonts w:ascii="Arial" w:cs="Arial" w:eastAsia="Arial" w:hAnsi="Arial"/>
                <w:color w:val="9B8E7E"/>
                <w:sz w:val="18"/>
                <w:szCs w:val="18"/>
              </w:rPr>
              <w:t xml:space="preserve">2008</w:t>
            </w:r>
          </w:p>
        </w:tc>
        <w:tc>
          <w:tcPr>
            <w:tcW w:type="dxa" w:w="7026"/>
            <w:tcBorders>
              <w:top w:val="none"/>
              <w:left w:val="single" w:color="E8DFC8" w:sz="4"/>
              <w:bottom w:val="none"/>
              <w:right w:val="none"/>
            </w:tcBorders>
            <w:tcMar>
              <w:top w:type="dxa" w:w="80"/>
              <w:left w:type="dxa" w:w="160"/>
              <w:bottom w:type="dxa" w:w="80"/>
              <w:right w:type="dxa" w:w="0"/>
            </w:tcMar>
          </w:tcPr>
          <w:p>
            <w:pPr>
              <w:spacing w:line="300"/>
            </w:pPr>
            <w:r>
              <w:rPr>
                <w:rFonts w:ascii="Arial" w:cs="Arial" w:eastAsia="Arial" w:hAnsi="Arial"/>
                <w:color w:val="1A1410"/>
                <w:sz w:val="20"/>
                <w:szCs w:val="20"/>
              </w:rPr>
              <w:t xml:space="preserve">Gosling’s research on behavioural observation as a more accurate personality assessment method than self-report directly supports Hue’s conversational model. Brief behavioural samples — even small amounts of naturalistic interaction — yield surprisingly accurate personality assessments. This supports the validity of Hue’s relatively short conversational assessment.</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left w:val="none"/>
              <w:bottom w:val="none"/>
              <w:right w:val="none"/>
            </w:tcBorders>
            <w:shd w:fill="F5F3EE" w:val="clear"/>
            <w:tcMar>
              <w:top w:type="dxa" w:w="80"/>
              <w:left w:type="dxa" w:w="0"/>
              <w:bottom w:type="dxa" w:w="80"/>
              <w:right w:type="dxa" w:w="160"/>
            </w:tcMar>
          </w:tcPr>
          <w:p>
            <w:r>
              <w:rPr>
                <w:rFonts w:ascii="Arial" w:cs="Arial" w:eastAsia="Arial" w:hAnsi="Arial"/>
                <w:b/>
                <w:bCs/>
                <w:color w:val="1A1410"/>
                <w:sz w:val="20"/>
                <w:szCs w:val="20"/>
              </w:rPr>
              <w:t xml:space="preserve">David McClelland</w:t>
            </w:r>
          </w:p>
          <w:p>
            <w:r>
              <w:rPr>
                <w:rFonts w:ascii="Arial" w:cs="Arial" w:eastAsia="Arial" w:hAnsi="Arial"/>
                <w:i/>
                <w:iCs/>
                <w:color w:val="9B8E7E"/>
                <w:sz w:val="19"/>
                <w:szCs w:val="19"/>
              </w:rPr>
              <w:t xml:space="preserve">Human Motivation</w:t>
            </w:r>
          </w:p>
          <w:p>
            <w:r>
              <w:rPr>
                <w:rFonts w:ascii="Arial" w:cs="Arial" w:eastAsia="Arial" w:hAnsi="Arial"/>
                <w:color w:val="9B8E7E"/>
                <w:sz w:val="18"/>
                <w:szCs w:val="18"/>
              </w:rPr>
              <w:t xml:space="preserve">1987</w:t>
            </w:r>
          </w:p>
        </w:tc>
        <w:tc>
          <w:tcPr>
            <w:tcW w:type="dxa" w:w="7026"/>
            <w:tcBorders>
              <w:top w:val="none"/>
              <w:left w:val="single" w:color="E8DFC8" w:sz="4"/>
              <w:bottom w:val="none"/>
              <w:right w:val="none"/>
            </w:tcBorders>
            <w:tcMar>
              <w:top w:type="dxa" w:w="80"/>
              <w:left w:type="dxa" w:w="160"/>
              <w:bottom w:type="dxa" w:w="80"/>
              <w:right w:type="dxa" w:w="0"/>
            </w:tcMar>
          </w:tcPr>
          <w:p>
            <w:pPr>
              <w:spacing w:line="300"/>
            </w:pPr>
            <w:r>
              <w:rPr>
                <w:rFonts w:ascii="Arial" w:cs="Arial" w:eastAsia="Arial" w:hAnsi="Arial"/>
                <w:color w:val="1A1410"/>
                <w:sz w:val="20"/>
                <w:szCs w:val="20"/>
              </w:rPr>
              <w:t xml:space="preserve">McClelland’s empirical grounding for Hue’s organisational proposition. His work on how motivational profiles predict behaviour in team contexts provides the theoretical basis for the team dashboard and gap radar. McClelland also argued that behavioural competency assessment produces better predictive validity for real-world performance than traditional psychometric tests.</w:t>
            </w:r>
          </w:p>
        </w:tc>
      </w:tr>
    </w:tbl>
    <w:p>
      <w:pPr>
        <w:spacing w:after="80" w:before="80"/>
      </w:pPr>
    </w:p>
    <w:p>
      <w:pPr>
        <w:pStyle w:val="Heading2"/>
        <w:spacing w:after="120" w:before="280"/>
      </w:pPr>
      <w:r>
        <w:rPr>
          <w:rFonts w:ascii="Arial" w:cs="Arial" w:eastAsia="Arial" w:hAnsi="Arial"/>
          <w:b/>
          <w:bCs/>
          <w:color w:val="1A1410"/>
          <w:sz w:val="26"/>
          <w:szCs w:val="26"/>
        </w:rPr>
        <w:t xml:space="preserve">Behavioural Science — Contemporary Grounding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left w:val="none"/>
              <w:bottom w:val="none"/>
              <w:right w:val="none"/>
            </w:tcBorders>
            <w:shd w:fill="F5F3EE" w:val="clear"/>
            <w:tcMar>
              <w:top w:type="dxa" w:w="80"/>
              <w:left w:type="dxa" w:w="0"/>
              <w:bottom w:type="dxa" w:w="80"/>
              <w:right w:type="dxa" w:w="160"/>
            </w:tcMar>
          </w:tcPr>
          <w:p>
            <w:r>
              <w:rPr>
                <w:rFonts w:ascii="Arial" w:cs="Arial" w:eastAsia="Arial" w:hAnsi="Arial"/>
                <w:b/>
                <w:bCs/>
                <w:color w:val="1A1410"/>
                <w:sz w:val="20"/>
                <w:szCs w:val="20"/>
              </w:rPr>
              <w:t xml:space="preserve">Daniel Kahneman</w:t>
            </w:r>
          </w:p>
          <w:p>
            <w:r>
              <w:rPr>
                <w:rFonts w:ascii="Arial" w:cs="Arial" w:eastAsia="Arial" w:hAnsi="Arial"/>
                <w:i/>
                <w:iCs/>
                <w:color w:val="9B8E7E"/>
                <w:sz w:val="19"/>
                <w:szCs w:val="19"/>
              </w:rPr>
              <w:t xml:space="preserve">Thinking, Fast and Slow</w:t>
            </w:r>
          </w:p>
          <w:p>
            <w:r>
              <w:rPr>
                <w:rFonts w:ascii="Arial" w:cs="Arial" w:eastAsia="Arial" w:hAnsi="Arial"/>
                <w:color w:val="9B8E7E"/>
                <w:sz w:val="18"/>
                <w:szCs w:val="18"/>
              </w:rPr>
              <w:t xml:space="preserve">2011</w:t>
            </w:r>
          </w:p>
        </w:tc>
        <w:tc>
          <w:tcPr>
            <w:tcW w:type="dxa" w:w="7026"/>
            <w:tcBorders>
              <w:top w:val="none"/>
              <w:left w:val="single" w:color="E8DFC8" w:sz="4"/>
              <w:bottom w:val="none"/>
              <w:right w:val="none"/>
            </w:tcBorders>
            <w:tcMar>
              <w:top w:type="dxa" w:w="80"/>
              <w:left w:type="dxa" w:w="160"/>
              <w:bottom w:type="dxa" w:w="80"/>
              <w:right w:type="dxa" w:w="0"/>
            </w:tcMar>
          </w:tcPr>
          <w:p>
            <w:pPr>
              <w:spacing w:line="300"/>
            </w:pPr>
            <w:r>
              <w:rPr>
                <w:rFonts w:ascii="Arial" w:cs="Arial" w:eastAsia="Arial" w:hAnsi="Arial"/>
                <w:color w:val="1A1410"/>
                <w:sz w:val="20"/>
                <w:szCs w:val="20"/>
              </w:rPr>
              <w:t xml:space="preserve">Kahneman’s System 1 (fast, automatic, habitual) and System 2 (slow, effortful, deliberate) distinction maps directly onto Hue’s core mechanic. The assessment measures System 1 tendencies. The practice layer develops System 2 capacity — the ability to pause and deliberately choose a different energy. This gives Hue’s practice mechanic a clear cognitive science basis.</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left w:val="none"/>
              <w:bottom w:val="none"/>
              <w:right w:val="none"/>
            </w:tcBorders>
            <w:shd w:fill="F5F3EE" w:val="clear"/>
            <w:tcMar>
              <w:top w:type="dxa" w:w="80"/>
              <w:left w:type="dxa" w:w="0"/>
              <w:bottom w:type="dxa" w:w="80"/>
              <w:right w:type="dxa" w:w="160"/>
            </w:tcMar>
          </w:tcPr>
          <w:p>
            <w:r>
              <w:rPr>
                <w:rFonts w:ascii="Arial" w:cs="Arial" w:eastAsia="Arial" w:hAnsi="Arial"/>
                <w:b/>
                <w:bCs/>
                <w:color w:val="1A1410"/>
                <w:sz w:val="20"/>
                <w:szCs w:val="20"/>
              </w:rPr>
              <w:t xml:space="preserve">Carol Dweck</w:t>
            </w:r>
          </w:p>
          <w:p>
            <w:r>
              <w:rPr>
                <w:rFonts w:ascii="Arial" w:cs="Arial" w:eastAsia="Arial" w:hAnsi="Arial"/>
                <w:i/>
                <w:iCs/>
                <w:color w:val="9B8E7E"/>
                <w:sz w:val="19"/>
                <w:szCs w:val="19"/>
              </w:rPr>
              <w:t xml:space="preserve">Mindset</w:t>
            </w:r>
          </w:p>
          <w:p>
            <w:r>
              <w:rPr>
                <w:rFonts w:ascii="Arial" w:cs="Arial" w:eastAsia="Arial" w:hAnsi="Arial"/>
                <w:color w:val="9B8E7E"/>
                <w:sz w:val="18"/>
                <w:szCs w:val="18"/>
              </w:rPr>
              <w:t xml:space="preserve">2006</w:t>
            </w:r>
          </w:p>
        </w:tc>
        <w:tc>
          <w:tcPr>
            <w:tcW w:type="dxa" w:w="7026"/>
            <w:tcBorders>
              <w:top w:val="none"/>
              <w:left w:val="single" w:color="E8DFC8" w:sz="4"/>
              <w:bottom w:val="none"/>
              <w:right w:val="none"/>
            </w:tcBorders>
            <w:tcMar>
              <w:top w:type="dxa" w:w="80"/>
              <w:left w:type="dxa" w:w="160"/>
              <w:bottom w:type="dxa" w:w="80"/>
              <w:right w:type="dxa" w:w="0"/>
            </w:tcMar>
          </w:tcPr>
          <w:p>
            <w:pPr>
              <w:spacing w:line="300"/>
            </w:pPr>
            <w:r>
              <w:rPr>
                <w:rFonts w:ascii="Arial" w:cs="Arial" w:eastAsia="Arial" w:hAnsi="Arial"/>
                <w:color w:val="1A1410"/>
                <w:sz w:val="20"/>
                <w:szCs w:val="20"/>
              </w:rPr>
              <w:t xml:space="preserve">Dweck’s growth mindset research is the empirical backbone of Hue’s core philosophy. The language philosophy (never say “can’t”, always say “tends toward”) is a growth mindset implementation. The flex mechanic is grounded in her finding that deliberate practice in areas of low preference produces real change.</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left w:val="none"/>
              <w:bottom w:val="none"/>
              <w:right w:val="none"/>
            </w:tcBorders>
            <w:shd w:fill="F5F3EE" w:val="clear"/>
            <w:tcMar>
              <w:top w:type="dxa" w:w="80"/>
              <w:left w:type="dxa" w:w="0"/>
              <w:bottom w:type="dxa" w:w="80"/>
              <w:right w:type="dxa" w:w="160"/>
            </w:tcMar>
          </w:tcPr>
          <w:p>
            <w:r>
              <w:rPr>
                <w:rFonts w:ascii="Arial" w:cs="Arial" w:eastAsia="Arial" w:hAnsi="Arial"/>
                <w:b/>
                <w:bCs/>
                <w:color w:val="1A1410"/>
                <w:sz w:val="20"/>
                <w:szCs w:val="20"/>
              </w:rPr>
              <w:t xml:space="preserve">Albert Bandura</w:t>
            </w:r>
          </w:p>
          <w:p>
            <w:r>
              <w:rPr>
                <w:rFonts w:ascii="Arial" w:cs="Arial" w:eastAsia="Arial" w:hAnsi="Arial"/>
                <w:i/>
                <w:iCs/>
                <w:color w:val="9B8E7E"/>
                <w:sz w:val="19"/>
                <w:szCs w:val="19"/>
              </w:rPr>
              <w:t xml:space="preserve">Self-Efficacy: The Exercise of Control</w:t>
            </w:r>
          </w:p>
          <w:p>
            <w:r>
              <w:rPr>
                <w:rFonts w:ascii="Arial" w:cs="Arial" w:eastAsia="Arial" w:hAnsi="Arial"/>
                <w:color w:val="9B8E7E"/>
                <w:sz w:val="18"/>
                <w:szCs w:val="18"/>
              </w:rPr>
              <w:t xml:space="preserve">1997</w:t>
            </w:r>
          </w:p>
        </w:tc>
        <w:tc>
          <w:tcPr>
            <w:tcW w:type="dxa" w:w="7026"/>
            <w:tcBorders>
              <w:top w:val="none"/>
              <w:left w:val="single" w:color="E8DFC8" w:sz="4"/>
              <w:bottom w:val="none"/>
              <w:right w:val="none"/>
            </w:tcBorders>
            <w:tcMar>
              <w:top w:type="dxa" w:w="80"/>
              <w:left w:type="dxa" w:w="160"/>
              <w:bottom w:type="dxa" w:w="80"/>
              <w:right w:type="dxa" w:w="0"/>
            </w:tcMar>
          </w:tcPr>
          <w:p>
            <w:pPr>
              <w:spacing w:line="300"/>
            </w:pPr>
            <w:r>
              <w:rPr>
                <w:rFonts w:ascii="Arial" w:cs="Arial" w:eastAsia="Arial" w:hAnsi="Arial"/>
                <w:color w:val="1A1410"/>
                <w:sz w:val="20"/>
                <w:szCs w:val="20"/>
              </w:rPr>
              <w:t xml:space="preserve">Bandura’s self-efficacy theory grounds Hue’s practice layer design. The flex challenge mechanic produces small, achievable successes with less preferred energies, building self-efficacy incrementally. Mastery experiences are the most powerful source of self-efficacy beliefs — grounding the design choice to start with achievable challenges.</w:t>
            </w:r>
          </w:p>
        </w:tc>
      </w:tr>
    </w:tbl>
    <w:p>
      <w:pPr>
        <w:pBdr>
          <w:bottom w:val="single" w:color="E8DFC8" w:sz="4"/>
        </w:pBdr>
        <w:spacing w:after="240" w:before="240"/>
      </w:pPr>
    </w:p>
    <w:p>
      <w:pPr>
        <w:pStyle w:val="Heading1"/>
        <w:spacing w:after="160" w:before="400"/>
      </w:pPr>
      <w:r>
        <w:rPr>
          <w:rFonts w:ascii="Arial" w:cs="Arial" w:eastAsia="Arial" w:hAnsi="Arial"/>
          <w:b/>
          <w:bCs/>
          <w:color w:val="1A1410"/>
          <w:sz w:val="36"/>
          <w:szCs w:val="36"/>
        </w:rPr>
        <w:t xml:space="preserve">3. Design Implications for Claude Code</w:t>
      </w:r>
    </w:p>
    <w:p>
      <w:pPr>
        <w:spacing w:after="120" w:before="80" w:line="320"/>
      </w:pPr>
      <w:r>
        <w:rPr>
          <w:rFonts w:ascii="Arial" w:cs="Arial" w:eastAsia="Arial" w:hAnsi="Arial"/>
          <w:color w:val="1A1410"/>
          <w:sz w:val="22"/>
          <w:szCs w:val="22"/>
        </w:rPr>
        <w:t xml:space="preserve">The following are direct design constraints derived from the theoretical stack. They are requirements with theoretical justification, not preferences.</w:t>
      </w:r>
    </w:p>
    <w:p>
      <w:pPr>
        <w:spacing w:after="80" w:before="80"/>
      </w:pPr>
    </w:p>
    <w:p>
      <w:pPr>
        <w:spacing w:after="120" w:before="80" w:line="320"/>
      </w:pPr>
      <w:r>
        <w:rPr>
          <w:rFonts w:ascii="Arial" w:cs="Arial" w:eastAsia="Arial" w:hAnsi="Arial"/>
          <w:b/>
          <w:bCs/>
          <w:color w:val="1A1410"/>
          <w:sz w:val="22"/>
          <w:szCs w:val="22"/>
        </w:rPr>
        <w:t xml:space="preserve">Language — energies as tendencies</w:t>
      </w:r>
    </w:p>
    <w:p>
      <w:pPr>
        <w:pStyle w:val="ListParagraph"/>
        <w:numPr>
          <w:ilvl w:val="0"/>
          <w:numId w:val="2"/>
        </w:numPr>
        <w:spacing w:after="60" w:before="60"/>
      </w:pPr>
      <w:r>
        <w:rPr>
          <w:rFonts w:ascii="Arial" w:cs="Arial" w:eastAsia="Arial" w:hAnsi="Arial"/>
          <w:color w:val="1A1410"/>
          <w:sz w:val="22"/>
          <w:szCs w:val="22"/>
        </w:rPr>
        <w:t xml:space="preserve">Basis: Jung’s definition of type as habitual attitude, not fixed trait.</w:t>
      </w:r>
    </w:p>
    <w:p>
      <w:pPr>
        <w:pStyle w:val="ListParagraph"/>
        <w:numPr>
          <w:ilvl w:val="0"/>
          <w:numId w:val="2"/>
        </w:numPr>
        <w:spacing w:after="60" w:before="60"/>
      </w:pPr>
      <w:r>
        <w:rPr>
          <w:rFonts w:ascii="Arial" w:cs="Arial" w:eastAsia="Arial" w:hAnsi="Arial"/>
          <w:color w:val="1A1410"/>
          <w:sz w:val="22"/>
          <w:szCs w:val="22"/>
        </w:rPr>
        <w:t xml:space="preserve">Constraint: Always use “tends toward”, “naturally reaches for”, “feels most at home when”. Never “is”, “can’t”, “leads with” as a fixed descriptor.</w:t>
      </w:r>
    </w:p>
    <w:p>
      <w:pPr>
        <w:spacing w:after="80" w:before="80"/>
      </w:pPr>
    </w:p>
    <w:p>
      <w:pPr>
        <w:spacing w:after="120" w:before="80" w:line="320"/>
      </w:pPr>
      <w:r>
        <w:rPr>
          <w:rFonts w:ascii="Arial" w:cs="Arial" w:eastAsia="Arial" w:hAnsi="Arial"/>
          <w:b/>
          <w:bCs/>
          <w:color w:val="1A1410"/>
          <w:sz w:val="22"/>
          <w:szCs w:val="22"/>
        </w:rPr>
        <w:t xml:space="preserve">Assessment questions — behavioural not hypothetical</w:t>
      </w:r>
    </w:p>
    <w:p>
      <w:pPr>
        <w:pStyle w:val="ListParagraph"/>
        <w:numPr>
          <w:ilvl w:val="0"/>
          <w:numId w:val="2"/>
        </w:numPr>
        <w:spacing w:after="60" w:before="60"/>
      </w:pPr>
      <w:r>
        <w:rPr>
          <w:rFonts w:ascii="Arial" w:cs="Arial" w:eastAsia="Arial" w:hAnsi="Arial"/>
          <w:color w:val="1A1410"/>
          <w:sz w:val="22"/>
          <w:szCs w:val="22"/>
        </w:rPr>
        <w:t xml:space="preserve">Basis: Mischel’s critique of self-report questionnaires; Gosling’s behavioural observation research.</w:t>
      </w:r>
    </w:p>
    <w:p>
      <w:pPr>
        <w:pStyle w:val="ListParagraph"/>
        <w:numPr>
          <w:ilvl w:val="0"/>
          <w:numId w:val="2"/>
        </w:numPr>
        <w:spacing w:after="60" w:before="60"/>
      </w:pPr>
      <w:r>
        <w:rPr>
          <w:rFonts w:ascii="Arial" w:cs="Arial" w:eastAsia="Arial" w:hAnsi="Arial"/>
          <w:color w:val="1A1410"/>
          <w:sz w:val="22"/>
          <w:szCs w:val="22"/>
        </w:rPr>
        <w:t xml:space="preserve">Constraint: Always ask “what did you do” not “what would you prefer”. Ask about specific recent situations, not generalised preferences.</w:t>
      </w:r>
    </w:p>
    <w:p>
      <w:pPr>
        <w:spacing w:after="80" w:before="80"/>
      </w:pPr>
    </w:p>
    <w:p>
      <w:pPr>
        <w:spacing w:after="120" w:before="80" w:line="320"/>
      </w:pPr>
      <w:r>
        <w:rPr>
          <w:rFonts w:ascii="Arial" w:cs="Arial" w:eastAsia="Arial" w:hAnsi="Arial"/>
          <w:b/>
          <w:bCs/>
          <w:color w:val="1A1410"/>
          <w:sz w:val="22"/>
          <w:szCs w:val="22"/>
        </w:rPr>
        <w:t xml:space="preserve">The flex mechanic — inferior function as growth frontier</w:t>
      </w:r>
    </w:p>
    <w:p>
      <w:pPr>
        <w:pStyle w:val="ListParagraph"/>
        <w:numPr>
          <w:ilvl w:val="0"/>
          <w:numId w:val="2"/>
        </w:numPr>
        <w:spacing w:after="60" w:before="60"/>
      </w:pPr>
      <w:r>
        <w:rPr>
          <w:rFonts w:ascii="Arial" w:cs="Arial" w:eastAsia="Arial" w:hAnsi="Arial"/>
          <w:color w:val="1A1410"/>
          <w:sz w:val="22"/>
          <w:szCs w:val="22"/>
        </w:rPr>
        <w:t xml:space="preserve">Basis: Jung’s inferior function theory; Bandura’s self-efficacy and mastery experiences.</w:t>
      </w:r>
    </w:p>
    <w:p>
      <w:pPr>
        <w:pStyle w:val="ListParagraph"/>
        <w:numPr>
          <w:ilvl w:val="0"/>
          <w:numId w:val="2"/>
        </w:numPr>
        <w:spacing w:after="60" w:before="60"/>
      </w:pPr>
      <w:r>
        <w:rPr>
          <w:rFonts w:ascii="Arial" w:cs="Arial" w:eastAsia="Arial" w:hAnsi="Arial"/>
          <w:color w:val="1A1410"/>
          <w:sz w:val="22"/>
          <w:szCs w:val="22"/>
        </w:rPr>
        <w:t xml:space="preserve">Constraint: Flex challenges must be specific, achievable, and grounded in something real the user described. The least preferred energy is always a growth frontier, never a deficit.</w:t>
      </w:r>
    </w:p>
    <w:p>
      <w:pPr>
        <w:spacing w:after="80" w:before="80"/>
      </w:pPr>
    </w:p>
    <w:p>
      <w:pPr>
        <w:spacing w:after="120" w:before="80" w:line="320"/>
      </w:pPr>
      <w:r>
        <w:rPr>
          <w:rFonts w:ascii="Arial" w:cs="Arial" w:eastAsia="Arial" w:hAnsi="Arial"/>
          <w:b/>
          <w:bCs/>
          <w:color w:val="1A1410"/>
          <w:sz w:val="22"/>
          <w:szCs w:val="22"/>
        </w:rPr>
        <w:t xml:space="preserve">The longitudinal profile — development not drift</w:t>
      </w:r>
    </w:p>
    <w:p>
      <w:pPr>
        <w:pStyle w:val="ListParagraph"/>
        <w:numPr>
          <w:ilvl w:val="0"/>
          <w:numId w:val="2"/>
        </w:numPr>
        <w:spacing w:after="60" w:before="60"/>
      </w:pPr>
      <w:r>
        <w:rPr>
          <w:rFonts w:ascii="Arial" w:cs="Arial" w:eastAsia="Arial" w:hAnsi="Arial"/>
          <w:color w:val="1A1410"/>
          <w:sz w:val="22"/>
          <w:szCs w:val="22"/>
        </w:rPr>
        <w:t xml:space="preserve">Basis: Myers’ type development theory; Loevinger’s ego development; Kegan’s subject-object model.</w:t>
      </w:r>
    </w:p>
    <w:p>
      <w:pPr>
        <w:pStyle w:val="ListParagraph"/>
        <w:numPr>
          <w:ilvl w:val="0"/>
          <w:numId w:val="2"/>
        </w:numPr>
        <w:spacing w:after="60" w:before="60"/>
      </w:pPr>
      <w:r>
        <w:rPr>
          <w:rFonts w:ascii="Arial" w:cs="Arial" w:eastAsia="Arial" w:hAnsi="Arial"/>
          <w:color w:val="1A1410"/>
          <w:sz w:val="22"/>
          <w:szCs w:val="22"/>
        </w:rPr>
        <w:t xml:space="preserve">Constraint: Profile changes over time should be interpreted as developmental movement, not instability. The energy diary tracks development, not mood.</w:t>
      </w:r>
    </w:p>
    <w:p>
      <w:pPr>
        <w:spacing w:after="80" w:before="80"/>
      </w:pPr>
    </w:p>
    <w:p>
      <w:pPr>
        <w:spacing w:after="120" w:before="80" w:line="320"/>
      </w:pPr>
      <w:r>
        <w:rPr>
          <w:rFonts w:ascii="Arial" w:cs="Arial" w:eastAsia="Arial" w:hAnsi="Arial"/>
          <w:b/>
          <w:bCs/>
          <w:color w:val="1A1410"/>
          <w:sz w:val="22"/>
          <w:szCs w:val="22"/>
        </w:rPr>
        <w:t xml:space="preserve">The practice layer — System 2 development</w:t>
      </w:r>
    </w:p>
    <w:p>
      <w:pPr>
        <w:pStyle w:val="ListParagraph"/>
        <w:numPr>
          <w:ilvl w:val="0"/>
          <w:numId w:val="2"/>
        </w:numPr>
        <w:spacing w:after="60" w:before="60"/>
      </w:pPr>
      <w:r>
        <w:rPr>
          <w:rFonts w:ascii="Arial" w:cs="Arial" w:eastAsia="Arial" w:hAnsi="Arial"/>
          <w:color w:val="1A1410"/>
          <w:sz w:val="22"/>
          <w:szCs w:val="22"/>
        </w:rPr>
        <w:t xml:space="preserve">Basis: Kahneman’s System 1/2 distinction; Dweck’s growth mindset research.</w:t>
      </w:r>
    </w:p>
    <w:p>
      <w:pPr>
        <w:pStyle w:val="ListParagraph"/>
        <w:numPr>
          <w:ilvl w:val="0"/>
          <w:numId w:val="2"/>
        </w:numPr>
        <w:spacing w:after="60" w:before="60"/>
      </w:pPr>
      <w:r>
        <w:rPr>
          <w:rFonts w:ascii="Arial" w:cs="Arial" w:eastAsia="Arial" w:hAnsi="Arial"/>
          <w:color w:val="1A1410"/>
          <w:sz w:val="22"/>
          <w:szCs w:val="22"/>
        </w:rPr>
        <w:t xml:space="preserve">Constraint: The companion is developing deliberate choice — System 2 capacity. The goal is not to change who someone is but to expand what they can choose.</w:t>
      </w:r>
    </w:p>
    <w:p>
      <w:pPr>
        <w:spacing w:after="80" w:before="80"/>
      </w:pPr>
    </w:p>
    <w:p>
      <w:pPr>
        <w:spacing w:after="120" w:before="80" w:line="320"/>
      </w:pPr>
      <w:r>
        <w:rPr>
          <w:rFonts w:ascii="Arial" w:cs="Arial" w:eastAsia="Arial" w:hAnsi="Arial"/>
          <w:b/>
          <w:bCs/>
          <w:color w:val="1A1410"/>
          <w:sz w:val="22"/>
          <w:szCs w:val="22"/>
        </w:rPr>
        <w:t xml:space="preserve">No energy is better than another</w:t>
      </w:r>
    </w:p>
    <w:p>
      <w:pPr>
        <w:pStyle w:val="ListParagraph"/>
        <w:numPr>
          <w:ilvl w:val="0"/>
          <w:numId w:val="2"/>
        </w:numPr>
        <w:spacing w:after="60" w:before="60"/>
      </w:pPr>
      <w:r>
        <w:rPr>
          <w:rFonts w:ascii="Arial" w:cs="Arial" w:eastAsia="Arial" w:hAnsi="Arial"/>
          <w:color w:val="1A1410"/>
          <w:sz w:val="22"/>
          <w:szCs w:val="22"/>
        </w:rPr>
        <w:t xml:space="preserve">Basis: Myers’ gifts of each type; Jung’s warning against type hierarchy.</w:t>
      </w:r>
    </w:p>
    <w:p>
      <w:pPr>
        <w:pStyle w:val="ListParagraph"/>
        <w:numPr>
          <w:ilvl w:val="0"/>
          <w:numId w:val="2"/>
        </w:numPr>
        <w:spacing w:after="60" w:before="60"/>
      </w:pPr>
      <w:r>
        <w:rPr>
          <w:rFonts w:ascii="Arial" w:cs="Arial" w:eastAsia="Arial" w:hAnsi="Arial"/>
          <w:color w:val="1A1410"/>
          <w:sz w:val="22"/>
          <w:szCs w:val="22"/>
        </w:rPr>
        <w:t xml:space="preserve">Constraint: All four energies have equal value in every context. The gap radar identifies missing energy as a team risk, not a deficit of individuals.</w:t>
      </w:r>
    </w:p>
    <w:p>
      <w:pPr>
        <w:pBdr>
          <w:bottom w:val="single" w:color="E8DFC8" w:sz="4"/>
        </w:pBdr>
        <w:spacing w:after="240" w:before="240"/>
      </w:pPr>
    </w:p>
    <w:p>
      <w:pPr>
        <w:pStyle w:val="Heading1"/>
        <w:spacing w:after="160" w:before="400"/>
      </w:pPr>
      <w:r>
        <w:rPr>
          <w:rFonts w:ascii="Arial" w:cs="Arial" w:eastAsia="Arial" w:hAnsi="Arial"/>
          <w:b/>
          <w:bCs/>
          <w:color w:val="1A1410"/>
          <w:sz w:val="36"/>
          <w:szCs w:val="36"/>
        </w:rPr>
        <w:t xml:space="preserve">4. What Is Not Yet Established — The Validation Gap</w:t>
      </w:r>
    </w:p>
    <w:p>
      <w:pPr>
        <w:spacing w:after="120" w:before="80" w:line="320"/>
      </w:pPr>
      <w:r>
        <w:rPr>
          <w:rFonts w:ascii="Arial" w:cs="Arial" w:eastAsia="Arial" w:hAnsi="Arial"/>
          <w:color w:val="1A1410"/>
          <w:sz w:val="22"/>
          <w:szCs w:val="22"/>
        </w:rPr>
        <w:t xml:space="preserve">The theoretical stack provides the foundation for why Hue’s approach should work. What does not yet exist is empirical evidence that it does work. This is the validation gap. It should be named directly in any conversation with psychologists, HR professionals, or advisory board members.</w:t>
      </w:r>
    </w:p>
    <w:p>
      <w:pPr>
        <w:spacing w:after="80" w:before="80"/>
      </w:pPr>
    </w:p>
    <w:p>
      <w:pPr>
        <w:spacing w:after="120" w:before="80" w:line="320"/>
      </w:pPr>
      <w:r>
        <w:rPr>
          <w:rFonts w:ascii="Arial" w:cs="Arial" w:eastAsia="Arial" w:hAnsi="Arial"/>
          <w:b/>
          <w:bCs/>
          <w:color w:val="1A1410"/>
          <w:sz w:val="22"/>
          <w:szCs w:val="22"/>
        </w:rPr>
        <w:t xml:space="preserve">The validation study — what it needs to establish</w:t>
      </w:r>
    </w:p>
    <w:p>
      <w:pPr>
        <w:pStyle w:val="ListParagraph"/>
        <w:numPr>
          <w:ilvl w:val="0"/>
          <w:numId w:val="2"/>
        </w:numPr>
        <w:spacing w:after="60" w:before="60"/>
      </w:pPr>
      <w:r>
        <w:rPr>
          <w:rFonts w:ascii="Arial" w:cs="Arial" w:eastAsia="Arial" w:hAnsi="Arial"/>
          <w:color w:val="1A1410"/>
          <w:sz w:val="22"/>
          <w:szCs w:val="22"/>
        </w:rPr>
        <w:t xml:space="preserve">Convergent validity: Do Hue’s results correlate meaningfully with established instruments (Insights Discovery, MBTI, Big Five)?</w:t>
      </w:r>
    </w:p>
    <w:p>
      <w:pPr>
        <w:pStyle w:val="ListParagraph"/>
        <w:numPr>
          <w:ilvl w:val="0"/>
          <w:numId w:val="2"/>
        </w:numPr>
        <w:spacing w:after="60" w:before="60"/>
      </w:pPr>
      <w:r>
        <w:rPr>
          <w:rFonts w:ascii="Arial" w:cs="Arial" w:eastAsia="Arial" w:hAnsi="Arial"/>
          <w:color w:val="1A1410"/>
          <w:sz w:val="22"/>
          <w:szCs w:val="22"/>
        </w:rPr>
        <w:t xml:space="preserve">Test-retest reliability: Do profiles remain stable across repeated assessments when no significant change has occurred?</w:t>
      </w:r>
    </w:p>
    <w:p>
      <w:pPr>
        <w:pStyle w:val="ListParagraph"/>
        <w:numPr>
          <w:ilvl w:val="0"/>
          <w:numId w:val="2"/>
        </w:numPr>
        <w:spacing w:after="60" w:before="60"/>
      </w:pPr>
      <w:r>
        <w:rPr>
          <w:rFonts w:ascii="Arial" w:cs="Arial" w:eastAsia="Arial" w:hAnsi="Arial"/>
          <w:color w:val="1A1410"/>
          <w:sz w:val="22"/>
          <w:szCs w:val="22"/>
        </w:rPr>
        <w:t xml:space="preserve">Construct validity: Do the four energy dimensions behave as distinct constructs?</w:t>
      </w:r>
    </w:p>
    <w:p>
      <w:pPr>
        <w:pStyle w:val="ListParagraph"/>
        <w:numPr>
          <w:ilvl w:val="0"/>
          <w:numId w:val="2"/>
        </w:numPr>
        <w:spacing w:after="60" w:before="60"/>
      </w:pPr>
      <w:r>
        <w:rPr>
          <w:rFonts w:ascii="Arial" w:cs="Arial" w:eastAsia="Arial" w:hAnsi="Arial"/>
          <w:color w:val="1A1410"/>
          <w:sz w:val="22"/>
          <w:szCs w:val="22"/>
        </w:rPr>
        <w:t xml:space="preserve">Predictive validity: Do energy profiles predict real-world behavioural patterns as the theoretical framework suggests?</w:t>
      </w:r>
    </w:p>
    <w:p>
      <w:pPr>
        <w:spacing w:after="80" w:before="80"/>
      </w:pPr>
    </w:p>
    <w:p>
      <w:pPr>
        <w:spacing w:after="120" w:before="80" w:line="300"/>
      </w:pPr>
      <w:r>
        <w:rPr>
          <w:rFonts w:ascii="Arial" w:cs="Arial" w:eastAsia="Arial" w:hAnsi="Arial"/>
          <w:i/>
          <w:iCs/>
          <w:color w:val="9B8E7E"/>
          <w:sz w:val="21"/>
          <w:szCs w:val="21"/>
        </w:rPr>
        <w:t xml:space="preserve">The theoretical stack in this document is the literature review for the validation study. The research question: “Can conversational AI produce psychometrically valid personality assessment, and what does rigorous validation of such an instrument require?” This is the joint paper.</w:t>
      </w:r>
    </w:p>
    <w:p>
      <w:pPr>
        <w:pBdr>
          <w:bottom w:val="single" w:color="E8DFC8" w:sz="4"/>
        </w:pBdr>
        <w:spacing w:after="240" w:before="240"/>
      </w:pPr>
    </w:p>
    <w:p>
      <w:pPr>
        <w:pStyle w:val="Heading1"/>
        <w:spacing w:after="160" w:before="400"/>
      </w:pPr>
      <w:r>
        <w:rPr>
          <w:rFonts w:ascii="Arial" w:cs="Arial" w:eastAsia="Arial" w:hAnsi="Arial"/>
          <w:b/>
          <w:bCs/>
          <w:color w:val="1A1410"/>
          <w:sz w:val="36"/>
          <w:szCs w:val="36"/>
        </w:rPr>
        <w:t xml:space="preserve">5. The Joint Paper — Proposed Structure</w:t>
      </w:r>
    </w:p>
    <w:p>
      <w:pPr>
        <w:spacing w:after="120" w:before="80" w:line="320"/>
      </w:pPr>
      <w:r>
        <w:rPr>
          <w:rFonts w:ascii="Arial" w:cs="Arial" w:eastAsia="Arial" w:hAnsi="Arial"/>
          <w:color w:val="1A1410"/>
          <w:sz w:val="22"/>
          <w:szCs w:val="22"/>
        </w:rPr>
        <w:t xml:space="preserve">Co-authored with Nigel Evans (and potentially Dr Angelina Bennet). Working outline, not a fixed commitment.</w:t>
      </w:r>
    </w:p>
    <w:p>
      <w:pPr>
        <w:spacing w:after="80" w:before="80"/>
      </w:pPr>
    </w:p>
    <w:p>
      <w:pPr>
        <w:spacing w:after="120" w:before="80" w:line="320"/>
      </w:pPr>
      <w:r>
        <w:rPr>
          <w:rFonts w:ascii="Arial" w:cs="Arial" w:eastAsia="Arial" w:hAnsi="Arial"/>
          <w:b/>
          <w:bCs/>
          <w:color w:val="1A1410"/>
          <w:sz w:val="22"/>
          <w:szCs w:val="22"/>
        </w:rPr>
        <w:t xml:space="preserve">Proposed title</w:t>
      </w:r>
    </w:p>
    <w:p>
      <w:pPr>
        <w:spacing w:after="120" w:before="80" w:line="300"/>
      </w:pPr>
      <w:r>
        <w:rPr>
          <w:rFonts w:ascii="Arial" w:cs="Arial" w:eastAsia="Arial" w:hAnsi="Arial"/>
          <w:i/>
          <w:iCs/>
          <w:color w:val="9B8E7E"/>
          <w:sz w:val="21"/>
          <w:szCs w:val="21"/>
        </w:rPr>
        <w:t xml:space="preserve">Conversational AI as a Psychometric Instrument: Theoretical Foundations, Methodological Considerations, and a Proposed Validation Framework</w:t>
      </w:r>
    </w:p>
    <w:p>
      <w:pPr>
        <w:spacing w:after="80" w:before="80"/>
      </w:pPr>
    </w:p>
    <w:p>
      <w:pPr>
        <w:pStyle w:val="ListParagraph"/>
        <w:numPr>
          <w:ilvl w:val="0"/>
          <w:numId w:val="2"/>
        </w:numPr>
        <w:spacing w:after="60" w:before="60"/>
      </w:pPr>
      <w:r>
        <w:rPr>
          <w:rFonts w:ascii="Arial" w:cs="Arial" w:eastAsia="Arial" w:hAnsi="Arial"/>
          <w:color w:val="1A1410"/>
          <w:sz w:val="22"/>
          <w:szCs w:val="22"/>
        </w:rPr>
        <w:t xml:space="preserve">Abstract: The case for conversational AI as a next-generation psychometric instrument.</w:t>
      </w:r>
    </w:p>
    <w:p>
      <w:pPr>
        <w:pStyle w:val="ListParagraph"/>
        <w:numPr>
          <w:ilvl w:val="0"/>
          <w:numId w:val="2"/>
        </w:numPr>
        <w:spacing w:after="60" w:before="60"/>
      </w:pPr>
      <w:r>
        <w:rPr>
          <w:rFonts w:ascii="Arial" w:cs="Arial" w:eastAsia="Arial" w:hAnsi="Arial"/>
          <w:color w:val="1A1410"/>
          <w:sz w:val="22"/>
          <w:szCs w:val="22"/>
        </w:rPr>
        <w:t xml:space="preserve">Introduction: The limitations of questionnaire-based assessment (Mischel, Gosling) and the theoretical case for conversational alternatives.</w:t>
      </w:r>
    </w:p>
    <w:p>
      <w:pPr>
        <w:pStyle w:val="ListParagraph"/>
        <w:numPr>
          <w:ilvl w:val="0"/>
          <w:numId w:val="2"/>
        </w:numPr>
        <w:spacing w:after="60" w:before="60"/>
      </w:pPr>
      <w:r>
        <w:rPr>
          <w:rFonts w:ascii="Arial" w:cs="Arial" w:eastAsia="Arial" w:hAnsi="Arial"/>
          <w:color w:val="1A1410"/>
          <w:sz w:val="22"/>
          <w:szCs w:val="22"/>
        </w:rPr>
        <w:t xml:space="preserve">Theoretical foundations: The Jungian and developmental psychology stack.</w:t>
      </w:r>
    </w:p>
    <w:p>
      <w:pPr>
        <w:pStyle w:val="ListParagraph"/>
        <w:numPr>
          <w:ilvl w:val="0"/>
          <w:numId w:val="2"/>
        </w:numPr>
        <w:spacing w:after="60" w:before="60"/>
      </w:pPr>
      <w:r>
        <w:rPr>
          <w:rFonts w:ascii="Arial" w:cs="Arial" w:eastAsia="Arial" w:hAnsi="Arial"/>
          <w:color w:val="1A1410"/>
          <w:sz w:val="22"/>
          <w:szCs w:val="22"/>
        </w:rPr>
        <w:t xml:space="preserve">Methodology: How Hue’s conversational assessment is designed, what it measures, and how it differs from existing instruments.</w:t>
      </w:r>
    </w:p>
    <w:p>
      <w:pPr>
        <w:pStyle w:val="ListParagraph"/>
        <w:numPr>
          <w:ilvl w:val="0"/>
          <w:numId w:val="2"/>
        </w:numPr>
        <w:spacing w:after="60" w:before="60"/>
      </w:pPr>
      <w:r>
        <w:rPr>
          <w:rFonts w:ascii="Arial" w:cs="Arial" w:eastAsia="Arial" w:hAnsi="Arial"/>
          <w:color w:val="1A1410"/>
          <w:sz w:val="22"/>
          <w:szCs w:val="22"/>
        </w:rPr>
        <w:t xml:space="preserve">Validation framework: What a rigorous validation study for this type of instrument should include.</w:t>
      </w:r>
    </w:p>
    <w:p>
      <w:pPr>
        <w:pStyle w:val="ListParagraph"/>
        <w:numPr>
          <w:ilvl w:val="0"/>
          <w:numId w:val="2"/>
        </w:numPr>
        <w:spacing w:after="60" w:before="60"/>
      </w:pPr>
      <w:r>
        <w:rPr>
          <w:rFonts w:ascii="Arial" w:cs="Arial" w:eastAsia="Arial" w:hAnsi="Arial"/>
          <w:color w:val="1A1410"/>
          <w:sz w:val="22"/>
          <w:szCs w:val="22"/>
        </w:rPr>
        <w:t xml:space="preserve">Preliminary findings: Early data from Hue’s beta cohort, presented as hypothesis-generating rather than conclusive.</w:t>
      </w:r>
    </w:p>
    <w:p>
      <w:pPr>
        <w:pStyle w:val="ListParagraph"/>
        <w:numPr>
          <w:ilvl w:val="0"/>
          <w:numId w:val="2"/>
        </w:numPr>
        <w:spacing w:after="60" w:before="60"/>
      </w:pPr>
      <w:r>
        <w:rPr>
          <w:rFonts w:ascii="Arial" w:cs="Arial" w:eastAsia="Arial" w:hAnsi="Arial"/>
          <w:color w:val="1A1410"/>
          <w:sz w:val="22"/>
          <w:szCs w:val="22"/>
        </w:rPr>
        <w:t xml:space="preserve">Implications: What the validation of a conversational AI psychometric instrument would mean for assessment standards, BPS registration criteria, and the future of personality profiling.</w:t>
      </w:r>
    </w:p>
    <w:p>
      <w:pPr>
        <w:pBdr>
          <w:bottom w:val="single" w:color="E8DFC8" w:sz="4"/>
        </w:pBdr>
        <w:spacing w:after="240" w:before="240"/>
      </w:pPr>
    </w:p>
    <w:p>
      <w:pPr>
        <w:pStyle w:val="Heading1"/>
        <w:spacing w:after="160" w:before="400"/>
      </w:pPr>
      <w:r>
        <w:rPr>
          <w:rFonts w:ascii="Arial" w:cs="Arial" w:eastAsia="Arial" w:hAnsi="Arial"/>
          <w:b/>
          <w:bCs/>
          <w:color w:val="1A1410"/>
          <w:sz w:val="36"/>
          <w:szCs w:val="36"/>
        </w:rPr>
        <w:t xml:space="preserve">6. Hue Identity Lines — Decided April 2026</w:t>
      </w:r>
    </w:p>
    <w:p>
      <w:pPr>
        <w:spacing w:after="120" w:before="80" w:line="320"/>
      </w:pPr>
      <w:r>
        <w:rPr>
          <w:rFonts w:ascii="Arial" w:cs="Arial" w:eastAsia="Arial" w:hAnsi="Arial"/>
          <w:color w:val="1A1410"/>
          <w:sz w:val="22"/>
          <w:szCs w:val="22"/>
        </w:rPr>
        <w:t xml:space="preserve">Three lines serve three distinct audiences. All decided. Do not reopen without instruction from Simon.</w:t>
      </w:r>
    </w:p>
    <w:p>
      <w:pPr>
        <w:spacing w:after="80" w:before="80"/>
      </w:pPr>
    </w:p>
    <w:p>
      <w:pPr>
        <w:spacing w:after="120" w:before="80" w:line="320"/>
      </w:pPr>
      <w:r>
        <w:rPr>
          <w:rFonts w:ascii="Arial" w:cs="Arial" w:eastAsia="Arial" w:hAnsi="Arial"/>
          <w:b/>
          <w:bCs/>
          <w:color w:val="1A1410"/>
          <w:sz w:val="22"/>
          <w:szCs w:val="22"/>
        </w:rPr>
        <w:t xml:space="preserve">Product identity line — individual, emotional, scroll-stopping</w:t>
      </w:r>
    </w:p>
    <w:p>
      <w:pPr>
        <w:spacing w:after="120" w:before="120"/>
      </w:pPr>
      <w:r>
        <w:rPr>
          <w:rFonts w:ascii="Arial" w:cs="Arial" w:eastAsia="Arial" w:hAnsi="Arial"/>
          <w:b/>
          <w:bCs/>
          <w:i/>
          <w:iCs/>
          <w:color w:val="1A1410"/>
          <w:sz w:val="28"/>
          <w:szCs w:val="28"/>
        </w:rPr>
        <w:t xml:space="preserve">Four energies. Infinite versions of you.</w:t>
      </w:r>
    </w:p>
    <w:p>
      <w:pPr>
        <w:spacing w:after="120" w:before="80" w:line="320"/>
      </w:pPr>
      <w:r>
        <w:rPr>
          <w:rFonts w:ascii="Arial" w:cs="Arial" w:eastAsia="Arial" w:hAnsi="Arial"/>
          <w:color w:val="1A1410"/>
          <w:sz w:val="22"/>
          <w:szCs w:val="22"/>
        </w:rPr>
        <w:t xml:space="preserve">The contrast between the concrete number and the word ‘infinite’ contradicts every competitor implicitly. Use on the welcome screen, the result card, and all individual-facing marketing.</w:t>
      </w:r>
    </w:p>
    <w:p>
      <w:pPr>
        <w:spacing w:after="80" w:before="80"/>
      </w:pPr>
    </w:p>
    <w:p>
      <w:pPr>
        <w:spacing w:after="120" w:before="80" w:line="320"/>
      </w:pPr>
      <w:r>
        <w:rPr>
          <w:rFonts w:ascii="Arial" w:cs="Arial" w:eastAsia="Arial" w:hAnsi="Arial"/>
          <w:b/>
          <w:bCs/>
          <w:color w:val="1A1410"/>
          <w:sz w:val="22"/>
          <w:szCs w:val="22"/>
        </w:rPr>
        <w:t xml:space="preserve">Purpose line — practitioner, HR buyer, L&amp;D professional</w:t>
      </w:r>
    </w:p>
    <w:p>
      <w:pPr>
        <w:spacing w:after="120" w:before="120"/>
      </w:pPr>
      <w:r>
        <w:rPr>
          <w:rFonts w:ascii="Arial" w:cs="Arial" w:eastAsia="Arial" w:hAnsi="Arial"/>
          <w:b/>
          <w:bCs/>
          <w:i/>
          <w:iCs/>
          <w:color w:val="1A1410"/>
          <w:sz w:val="28"/>
          <w:szCs w:val="28"/>
        </w:rPr>
        <w:t xml:space="preserve">Understand how you show up. Reach for who you could be.</w:t>
      </w:r>
    </w:p>
    <w:p>
      <w:pPr>
        <w:spacing w:after="120" w:before="80" w:line="320"/>
      </w:pPr>
      <w:r>
        <w:rPr>
          <w:rFonts w:ascii="Arial" w:cs="Arial" w:eastAsia="Arial" w:hAnsi="Arial"/>
          <w:color w:val="1A1410"/>
          <w:sz w:val="22"/>
          <w:szCs w:val="22"/>
        </w:rPr>
        <w:t xml:space="preserve">The word ‘reach’ is Hue’s own language — use it consistently throughout. Use in facilitator and organisational sales materials, the about page, and onboarding.</w:t>
      </w:r>
    </w:p>
    <w:p>
      <w:pPr>
        <w:spacing w:after="80" w:before="80"/>
      </w:pPr>
    </w:p>
    <w:p>
      <w:pPr>
        <w:spacing w:after="120" w:before="80" w:line="320"/>
      </w:pPr>
      <w:r>
        <w:rPr>
          <w:rFonts w:ascii="Arial" w:cs="Arial" w:eastAsia="Arial" w:hAnsi="Arial"/>
          <w:b/>
          <w:bCs/>
          <w:color w:val="1A1410"/>
          <w:sz w:val="22"/>
          <w:szCs w:val="22"/>
        </w:rPr>
        <w:t xml:space="preserve">Academic credibility line — HR directors, psychologists, institutional buyers</w:t>
      </w:r>
    </w:p>
    <w:p>
      <w:pPr>
        <w:spacing w:after="120" w:before="120"/>
      </w:pPr>
      <w:r>
        <w:rPr>
          <w:rFonts w:ascii="Arial" w:cs="Arial" w:eastAsia="Arial" w:hAnsi="Arial"/>
          <w:b/>
          <w:bCs/>
          <w:i/>
          <w:iCs/>
          <w:color w:val="1A1410"/>
          <w:sz w:val="28"/>
          <w:szCs w:val="28"/>
        </w:rPr>
        <w:t xml:space="preserve">The science is serious. The experience is human.</w:t>
      </w:r>
    </w:p>
    <w:p>
      <w:pPr>
        <w:spacing w:after="120" w:before="80" w:line="320"/>
      </w:pPr>
      <w:r>
        <w:rPr>
          <w:rFonts w:ascii="Arial" w:cs="Arial" w:eastAsia="Arial" w:hAnsi="Arial"/>
          <w:color w:val="1A1410"/>
          <w:sz w:val="22"/>
          <w:szCs w:val="22"/>
        </w:rPr>
        <w:t xml:space="preserve">Eight words. The HR director reads ‘the science is serious’ and relaxes. The individual reads ‘the experience is human’ and leans in. Use on the methodology page and in credentialing contexts only.</w:t>
      </w:r>
    </w:p>
    <w:p>
      <w:pPr>
        <w:pBdr>
          <w:bottom w:val="single" w:color="E8DFC8" w:sz="4"/>
        </w:pBdr>
        <w:spacing w:after="240" w:before="240"/>
      </w:pPr>
    </w:p>
    <w:p>
      <w:pPr>
        <w:pStyle w:val="Heading1"/>
        <w:spacing w:after="160" w:before="400"/>
      </w:pPr>
      <w:r>
        <w:rPr>
          <w:rFonts w:ascii="Arial" w:cs="Arial" w:eastAsia="Arial" w:hAnsi="Arial"/>
          <w:b/>
          <w:bCs/>
          <w:color w:val="1A1410"/>
          <w:sz w:val="36"/>
          <w:szCs w:val="36"/>
        </w:rPr>
        <w:t xml:space="preserve">7. Neuroscience of Stress — The Grip</w:t>
      </w:r>
    </w:p>
    <w:p>
      <w:pPr>
        <w:spacing w:after="120" w:before="80" w:line="320"/>
      </w:pPr>
      <w:r>
        <w:rPr>
          <w:rFonts w:ascii="Arial" w:cs="Arial" w:eastAsia="Arial" w:hAnsi="Arial"/>
          <w:color w:val="1A1410"/>
          <w:sz w:val="22"/>
          <w:szCs w:val="22"/>
        </w:rPr>
        <w:t xml:space="preserve">Under stress, the amygdala overrides the prefrontal cortex, impairing working memory, attention, response inhibition, and cognitive flexibility. In Jungian terms: the prefrontal cortex is where the dominant energy lives. When it goes offline, the inferior function — the least preferred energy — takes over. The person does not feel like themselves because neurologically, they are not operating from their normal centre.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left w:val="none"/>
              <w:bottom w:val="none"/>
              <w:right w:val="none"/>
            </w:tcBorders>
            <w:shd w:fill="F5F3EE" w:val="clear"/>
            <w:tcMar>
              <w:top w:type="dxa" w:w="80"/>
              <w:left w:type="dxa" w:w="0"/>
              <w:bottom w:type="dxa" w:w="80"/>
              <w:right w:type="dxa" w:w="160"/>
            </w:tcMar>
          </w:tcPr>
          <w:p>
            <w:r>
              <w:rPr>
                <w:rFonts w:ascii="Arial" w:cs="Arial" w:eastAsia="Arial" w:hAnsi="Arial"/>
                <w:b/>
                <w:bCs/>
                <w:color w:val="1A1410"/>
                <w:sz w:val="20"/>
                <w:szCs w:val="20"/>
              </w:rPr>
              <w:t xml:space="preserve">Naomi Quenk</w:t>
            </w:r>
          </w:p>
          <w:p>
            <w:r>
              <w:rPr>
                <w:rFonts w:ascii="Arial" w:cs="Arial" w:eastAsia="Arial" w:hAnsi="Arial"/>
                <w:i/>
                <w:iCs/>
                <w:color w:val="9B8E7E"/>
                <w:sz w:val="19"/>
                <w:szCs w:val="19"/>
              </w:rPr>
              <w:t xml:space="preserve">In the Grip: Understanding Type, Stress and the Inferior Function</w:t>
            </w:r>
          </w:p>
          <w:p>
            <w:r>
              <w:rPr>
                <w:rFonts w:ascii="Arial" w:cs="Arial" w:eastAsia="Arial" w:hAnsi="Arial"/>
                <w:color w:val="9B8E7E"/>
                <w:sz w:val="18"/>
                <w:szCs w:val="18"/>
              </w:rPr>
              <w:t xml:space="preserve">2000</w:t>
            </w:r>
          </w:p>
        </w:tc>
        <w:tc>
          <w:tcPr>
            <w:tcW w:type="dxa" w:w="7026"/>
            <w:tcBorders>
              <w:top w:val="none"/>
              <w:left w:val="single" w:color="E8DFC8" w:sz="4"/>
              <w:bottom w:val="none"/>
              <w:right w:val="none"/>
            </w:tcBorders>
            <w:tcMar>
              <w:top w:type="dxa" w:w="80"/>
              <w:left w:type="dxa" w:w="160"/>
              <w:bottom w:type="dxa" w:w="80"/>
              <w:right w:type="dxa" w:w="0"/>
            </w:tcMar>
          </w:tcPr>
          <w:p>
            <w:pPr>
              <w:spacing w:line="300"/>
            </w:pPr>
            <w:r>
              <w:rPr>
                <w:rFonts w:ascii="Arial" w:cs="Arial" w:eastAsia="Arial" w:hAnsi="Arial"/>
                <w:color w:val="1A1410"/>
                <w:sz w:val="20"/>
                <w:szCs w:val="20"/>
              </w:rPr>
              <w:t xml:space="preserve">The bridge text between Jung’s theoretical description of the inferior function and its practical manifestation under stress. Describes what each type looks like in the grip, what triggers it, and how recovery happens. Directly applicable to Hue’s stress response design. Essential reading for anyone designing Hue’s stress conversation protocol.</w:t>
            </w:r>
          </w:p>
        </w:tc>
      </w:tr>
    </w:tbl>
    <w:p>
      <w:pPr>
        <w:spacing w:after="80" w:before="80"/>
      </w:pPr>
    </w:p>
    <w:p>
      <w:pPr>
        <w:pStyle w:val="Heading2"/>
        <w:spacing w:after="120" w:before="280"/>
      </w:pPr>
      <w:r>
        <w:rPr>
          <w:rFonts w:ascii="Arial" w:cs="Arial" w:eastAsia="Arial" w:hAnsi="Arial"/>
          <w:b/>
          <w:bCs/>
          <w:color w:val="1A1410"/>
          <w:sz w:val="26"/>
          <w:szCs w:val="26"/>
        </w:rPr>
        <w:t xml:space="preserve">The four energies under stress</w:t>
      </w:r>
    </w:p>
    <w:p>
      <w:pPr>
        <w:pStyle w:val="ListParagraph"/>
        <w:numPr>
          <w:ilvl w:val="0"/>
          <w:numId w:val="2"/>
        </w:numPr>
        <w:spacing w:after="60" w:before="60"/>
      </w:pPr>
      <w:r>
        <w:rPr>
          <w:rFonts w:ascii="Arial" w:cs="Arial" w:eastAsia="Arial" w:hAnsi="Arial"/>
          <w:color w:val="1A1410"/>
          <w:sz w:val="22"/>
          <w:szCs w:val="22"/>
        </w:rPr>
        <w:t xml:space="preserve">Spark under stress: Loses decisive clarity. Becomes paralysed or compulsively over-controlling. The grip pulls toward catastrophising.</w:t>
      </w:r>
    </w:p>
    <w:p>
      <w:pPr>
        <w:pStyle w:val="ListParagraph"/>
        <w:numPr>
          <w:ilvl w:val="0"/>
          <w:numId w:val="2"/>
        </w:numPr>
        <w:spacing w:after="60" w:before="60"/>
      </w:pPr>
      <w:r>
        <w:rPr>
          <w:rFonts w:ascii="Arial" w:cs="Arial" w:eastAsia="Arial" w:hAnsi="Arial"/>
          <w:color w:val="1A1410"/>
          <w:sz w:val="22"/>
          <w:szCs w:val="22"/>
        </w:rPr>
        <w:t xml:space="preserve">Glow under stress: Loses warmth and optimism. Becomes isolated or catastrophically negative. The grip pulls toward cold detached logic.</w:t>
      </w:r>
    </w:p>
    <w:p>
      <w:pPr>
        <w:pStyle w:val="ListParagraph"/>
        <w:numPr>
          <w:ilvl w:val="0"/>
          <w:numId w:val="2"/>
        </w:numPr>
        <w:spacing w:after="60" w:before="60"/>
      </w:pPr>
      <w:r>
        <w:rPr>
          <w:rFonts w:ascii="Arial" w:cs="Arial" w:eastAsia="Arial" w:hAnsi="Arial"/>
          <w:color w:val="1A1410"/>
          <w:sz w:val="22"/>
          <w:szCs w:val="22"/>
        </w:rPr>
        <w:t xml:space="preserve">Tend under stress: Loses steadiness. Becomes rigidly procedural or suddenly impulsive. The grip pulls toward frantic uncharacteristic action.</w:t>
      </w:r>
    </w:p>
    <w:p>
      <w:pPr>
        <w:pStyle w:val="ListParagraph"/>
        <w:numPr>
          <w:ilvl w:val="0"/>
          <w:numId w:val="2"/>
        </w:numPr>
        <w:spacing w:after="60" w:before="60"/>
      </w:pPr>
      <w:r>
        <w:rPr>
          <w:rFonts w:ascii="Arial" w:cs="Arial" w:eastAsia="Arial" w:hAnsi="Arial"/>
          <w:color w:val="1A1410"/>
          <w:sz w:val="22"/>
          <w:szCs w:val="22"/>
        </w:rPr>
        <w:t xml:space="preserve">Flow under stress: Loses vision and composure. Becomes emotionally overwhelmed or fixated on irrelevant detail.</w:t>
      </w:r>
    </w:p>
    <w:p>
      <w:pPr>
        <w:spacing w:after="80" w:before="80"/>
      </w:pPr>
    </w:p>
    <w:p>
      <w:pPr>
        <w:pStyle w:val="Heading2"/>
        <w:spacing w:after="120" w:before="280"/>
      </w:pPr>
      <w:r>
        <w:rPr>
          <w:rFonts w:ascii="Arial" w:cs="Arial" w:eastAsia="Arial" w:hAnsi="Arial"/>
          <w:b/>
          <w:bCs/>
          <w:color w:val="1A1410"/>
          <w:sz w:val="26"/>
          <w:szCs w:val="26"/>
        </w:rPr>
        <w:t xml:space="preserve">What Hue does with this</w:t>
      </w:r>
    </w:p>
    <w:p>
      <w:pPr>
        <w:spacing w:after="120" w:before="80" w:line="320"/>
      </w:pPr>
      <w:r>
        <w:rPr>
          <w:rFonts w:ascii="Arial" w:cs="Arial" w:eastAsia="Arial" w:hAnsi="Arial"/>
          <w:b/>
          <w:bCs/>
          <w:color w:val="1A1410"/>
          <w:sz w:val="22"/>
          <w:szCs w:val="22"/>
        </w:rPr>
        <w:t xml:space="preserve">Name it without pathologising</w:t>
      </w:r>
    </w:p>
    <w:p>
      <w:pPr>
        <w:spacing w:after="120" w:before="80" w:line="300"/>
      </w:pPr>
      <w:r>
        <w:rPr>
          <w:rFonts w:ascii="Arial" w:cs="Arial" w:eastAsia="Arial" w:hAnsi="Arial"/>
          <w:i/>
          <w:iCs/>
          <w:color w:val="9B8E7E"/>
          <w:sz w:val="21"/>
          <w:szCs w:val="21"/>
        </w:rPr>
        <w:t xml:space="preserve">“The way you’re describing this doesn’t quite sound like you — it sounds like the version of you that shows up when things get really hard. That’s worth noticing.”</w:t>
      </w:r>
    </w:p>
    <w:p>
      <w:pPr>
        <w:spacing w:after="80" w:before="80"/>
      </w:pPr>
    </w:p>
    <w:p>
      <w:pPr>
        <w:spacing w:after="120" w:before="80" w:line="320"/>
      </w:pPr>
      <w:r>
        <w:rPr>
          <w:rFonts w:ascii="Arial" w:cs="Arial" w:eastAsia="Arial" w:hAnsi="Arial"/>
          <w:b/>
          <w:bCs/>
          <w:color w:val="1A1410"/>
          <w:sz w:val="22"/>
          <w:szCs w:val="22"/>
        </w:rPr>
        <w:t xml:space="preserve">Restore access to the auxiliary energy</w:t>
      </w:r>
    </w:p>
    <w:p>
      <w:pPr>
        <w:spacing w:after="120" w:before="80" w:line="320"/>
      </w:pPr>
      <w:r>
        <w:rPr>
          <w:rFonts w:ascii="Arial" w:cs="Arial" w:eastAsia="Arial" w:hAnsi="Arial"/>
          <w:color w:val="1A1410"/>
          <w:sz w:val="22"/>
          <w:szCs w:val="22"/>
        </w:rPr>
        <w:t xml:space="preserve">Recovery is not about pushing back toward the dominant energy — which is exhausted — but gently activating the auxiliary, the second energy. For a Flow person in the grip: “Before you decide anything, is there one person whose perspective would help?” — a Glow-energy prompt that re-engages the relational auxiliary.</w:t>
      </w:r>
    </w:p>
    <w:p>
      <w:pPr>
        <w:spacing w:after="80" w:before="80"/>
      </w:pPr>
    </w:p>
    <w:p>
      <w:pPr>
        <w:spacing w:after="120" w:before="80" w:line="320"/>
      </w:pPr>
      <w:r>
        <w:rPr>
          <w:rFonts w:ascii="Arial" w:cs="Arial" w:eastAsia="Arial" w:hAnsi="Arial"/>
          <w:b/>
          <w:bCs/>
          <w:color w:val="1A1410"/>
          <w:sz w:val="22"/>
          <w:szCs w:val="22"/>
        </w:rPr>
        <w:t xml:space="preserve">Distinguish grip from genuine profile change</w:t>
      </w:r>
    </w:p>
    <w:p>
      <w:pPr>
        <w:spacing w:after="120" w:before="80" w:line="320"/>
      </w:pPr>
      <w:r>
        <w:rPr>
          <w:rFonts w:ascii="Arial" w:cs="Arial" w:eastAsia="Arial" w:hAnsi="Arial"/>
          <w:color w:val="1A1410"/>
          <w:sz w:val="22"/>
          <w:szCs w:val="22"/>
        </w:rPr>
        <w:t xml:space="preserve">A person retesting during high stress will produce grip answers, not stable profile answers. Hue’s reassessment accountability layer is neurologically grounded: “Has something changed, or does this feel like a more accurate picture?”</w:t>
      </w:r>
    </w:p>
    <w:p>
      <w:pPr>
        <w:spacing w:after="80" w:before="80"/>
      </w:pPr>
    </w:p>
    <w:p>
      <w:pPr>
        <w:pStyle w:val="Heading2"/>
        <w:spacing w:after="120" w:before="280"/>
      </w:pPr>
      <w:r>
        <w:rPr>
          <w:rFonts w:ascii="Arial" w:cs="Arial" w:eastAsia="Arial" w:hAnsi="Arial"/>
          <w:b/>
          <w:bCs/>
          <w:color w:val="1A1410"/>
          <w:sz w:val="26"/>
          <w:szCs w:val="26"/>
        </w:rPr>
        <w:t xml:space="preserve">The novel argument for the paper with Nigel Evans</w:t>
      </w:r>
    </w:p>
    <w:p>
      <w:pPr>
        <w:spacing w:after="120" w:before="80" w:line="300"/>
      </w:pPr>
      <w:r>
        <w:rPr>
          <w:rFonts w:ascii="Arial" w:cs="Arial" w:eastAsia="Arial" w:hAnsi="Arial"/>
          <w:i/>
          <w:iCs/>
          <w:color w:val="9B8E7E"/>
          <w:sz w:val="21"/>
          <w:szCs w:val="21"/>
        </w:rPr>
        <w:t xml:space="preserve">Neuroscience provides a mechanistic explanation for the Jungian concept of the inferior function grip — a connection neither field has made explicitly in a personality development context. Hue’s stress response mechanic is the practical implementation of both theories working together. That is publishable.</w:t>
      </w:r>
    </w:p>
    <w:p>
      <w:pPr>
        <w:pBdr>
          <w:bottom w:val="single" w:color="E8DFC8" w:sz="4"/>
        </w:pBdr>
        <w:spacing w:after="240" w:before="240"/>
      </w:pPr>
    </w:p>
    <w:p>
      <w:pPr>
        <w:pStyle w:val="Heading1"/>
        <w:spacing w:after="160" w:before="400"/>
      </w:pPr>
      <w:r>
        <w:rPr>
          <w:rFonts w:ascii="Arial" w:cs="Arial" w:eastAsia="Arial" w:hAnsi="Arial"/>
          <w:b/>
          <w:bCs/>
          <w:color w:val="1A1410"/>
          <w:sz w:val="36"/>
          <w:szCs w:val="36"/>
        </w:rPr>
        <w:t xml:space="preserve">8. What Hue Is Measuring — A Framework for BPS and Professional Bodies</w:t>
      </w:r>
    </w:p>
    <w:p>
      <w:pPr>
        <w:spacing w:after="120" w:before="80" w:line="300"/>
      </w:pPr>
      <w:r>
        <w:rPr>
          <w:rFonts w:ascii="Arial" w:cs="Arial" w:eastAsia="Arial" w:hAnsi="Arial"/>
          <w:i/>
          <w:iCs/>
          <w:color w:val="9B8E7E"/>
          <w:sz w:val="21"/>
          <w:szCs w:val="21"/>
        </w:rPr>
        <w:t xml:space="preserve">Added April 2026. Intended to inform the joint paper with Nigel Evans and any future validation study design.</w:t>
      </w:r>
    </w:p>
    <w:p>
      <w:pPr>
        <w:spacing w:after="80" w:before="80"/>
      </w:pPr>
    </w:p>
    <w:p>
      <w:pPr>
        <w:pStyle w:val="Heading2"/>
        <w:spacing w:after="120" w:before="280"/>
      </w:pPr>
      <w:r>
        <w:rPr>
          <w:rFonts w:ascii="Arial" w:cs="Arial" w:eastAsia="Arial" w:hAnsi="Arial"/>
          <w:b/>
          <w:bCs/>
          <w:color w:val="1A1410"/>
          <w:sz w:val="26"/>
          <w:szCs w:val="26"/>
        </w:rPr>
        <w:t xml:space="preserve">The construct</w:t>
      </w:r>
    </w:p>
    <w:p>
      <w:pPr>
        <w:spacing w:after="120" w:before="80" w:line="320"/>
      </w:pPr>
      <w:r>
        <w:rPr>
          <w:rFonts w:ascii="Arial" w:cs="Arial" w:eastAsia="Arial" w:hAnsi="Arial"/>
          <w:color w:val="1A1410"/>
          <w:sz w:val="22"/>
          <w:szCs w:val="22"/>
        </w:rPr>
        <w:t xml:space="preserve">Hue measures behavioural energy preference — the relative tendency to draw on four distinct action orientations across situations. This is closer to a situational or contextual preference measure than a trait measure. The construct is: given a range of behavioural options, which does this person reach for most naturally, most often, and with least conscious effort?</w:t>
      </w:r>
    </w:p>
    <w:p>
      <w:pPr>
        <w:spacing w:after="120" w:before="80" w:line="320"/>
      </w:pPr>
      <w:r>
        <w:rPr>
          <w:rFonts w:ascii="Arial" w:cs="Arial" w:eastAsia="Arial" w:hAnsi="Arial"/>
          <w:color w:val="1A1410"/>
          <w:sz w:val="22"/>
          <w:szCs w:val="22"/>
        </w:rPr>
        <w:t xml:space="preserve">This is a well-established construct in the psychological literature. Hue is not inventing a new construct — it is measuring a well-understood one through a new method: structured conversational AI.</w:t>
      </w:r>
    </w:p>
    <w:p>
      <w:pPr>
        <w:spacing w:after="80" w:before="80"/>
      </w:pPr>
    </w:p>
    <w:p>
      <w:pPr>
        <w:pStyle w:val="Heading2"/>
        <w:spacing w:after="120" w:before="280"/>
      </w:pPr>
      <w:r>
        <w:rPr>
          <w:rFonts w:ascii="Arial" w:cs="Arial" w:eastAsia="Arial" w:hAnsi="Arial"/>
          <w:b/>
          <w:bCs/>
          <w:color w:val="1A1410"/>
          <w:sz w:val="26"/>
          <w:szCs w:val="26"/>
        </w:rPr>
        <w:t xml:space="preserve">The six scoring dimensions</w:t>
      </w:r>
    </w:p>
    <w:p>
      <w:pPr>
        <w:spacing w:after="120" w:before="80" w:line="320"/>
      </w:pPr>
      <w:r>
        <w:rPr>
          <w:rFonts w:ascii="Arial" w:cs="Arial" w:eastAsia="Arial" w:hAnsi="Arial"/>
          <w:color w:val="1A1410"/>
          <w:sz w:val="22"/>
          <w:szCs w:val="22"/>
        </w:rPr>
        <w:t xml:space="preserve">These are the explicit criteria Claude attends to when conducting an assessment. Transparent, replicable, and auditable — which is what BPS validation requires.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426"/>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What Claude is listening for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1. Spontaneous choice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Which energy orientation does the person default to when describing situations unprompted? The energy that appears without prompting is diagnostically significant.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2. Effort language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Are natural behaviours described as effortless ("I just..." / "naturally I...") or deliberate ("I had to force myself...")? Instinctive energies are described without friction.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3. Frequency signals</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How often does each energy orientation appear across the full conversation? Frequency across multiple independent instances is the conversational equivalent of item consistency.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4. Valence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Is the energy described with positive or neutral affect (preference) or negative affect (cost)? Valence distinguishes preference from compliance.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5. Consistency across contexts</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Does the same energy orientation appear across professional, personal, high-stakes, and low-stakes situations? Stable preference shows up across contexts.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6. Recovery pattern</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What does the person instinctively reach for under pressure or when things go wrong? Often more revealing than response under normal conditions.</w:t>
            </w:r>
          </w:p>
        </w:tc>
      </w:tr>
    </w:tbl>
    <w:p>
      <w:pPr>
        <w:spacing w:after="80" w:before="80"/>
      </w:pPr>
    </w:p>
    <w:p>
      <w:pPr>
        <w:pStyle w:val="Heading2"/>
        <w:spacing w:after="120" w:before="280"/>
      </w:pPr>
      <w:r>
        <w:rPr>
          <w:rFonts w:ascii="Arial" w:cs="Arial" w:eastAsia="Arial" w:hAnsi="Arial"/>
          <w:b/>
          <w:bCs/>
          <w:color w:val="1A1410"/>
          <w:sz w:val="26"/>
          <w:szCs w:val="26"/>
        </w:rPr>
        <w:t xml:space="preserve">Why conversation outperforms questionnaire</w:t>
      </w:r>
    </w:p>
    <w:p>
      <w:pPr>
        <w:spacing w:after="120" w:before="80" w:line="320"/>
      </w:pPr>
      <w:r>
        <w:rPr>
          <w:rFonts w:ascii="Arial" w:cs="Arial" w:eastAsia="Arial" w:hAnsi="Arial"/>
          <w:color w:val="1A1410"/>
          <w:sz w:val="22"/>
          <w:szCs w:val="22"/>
        </w:rPr>
        <w:t xml:space="preserve">Traditional forced-choice questionnaires can only score dimensions 1 and 3 — spontaneous choice and frequency — and only through self-report. They cannot score effort language (no naturalistic language), valence (all options presented neutrally), cross-context consistency (each question decontextualised), or recovery pattern (not a dynamic instrument).</w:t>
      </w:r>
    </w:p>
    <w:p>
      <w:pPr>
        <w:spacing w:after="120" w:before="80" w:line="320"/>
      </w:pPr>
      <w:r>
        <w:rPr>
          <w:rFonts w:ascii="Arial" w:cs="Arial" w:eastAsia="Arial" w:hAnsi="Arial"/>
          <w:color w:val="1A1410"/>
          <w:sz w:val="22"/>
          <w:szCs w:val="22"/>
        </w:rPr>
        <w:t xml:space="preserve">Hue’s conversational format can score all six dimensions from naturally produced language. This is the core methodological claim the validation study needs to test.</w:t>
      </w:r>
    </w:p>
    <w:p>
      <w:pPr>
        <w:spacing w:after="80" w:before="80"/>
      </w:pPr>
    </w:p>
    <w:p>
      <w:pPr>
        <w:pStyle w:val="Heading2"/>
        <w:spacing w:after="120" w:before="280"/>
      </w:pPr>
      <w:r>
        <w:rPr>
          <w:rFonts w:ascii="Arial" w:cs="Arial" w:eastAsia="Arial" w:hAnsi="Arial"/>
          <w:b/>
          <w:bCs/>
          <w:color w:val="1A1410"/>
          <w:sz w:val="26"/>
          <w:szCs w:val="26"/>
        </w:rPr>
        <w:t xml:space="preserve">The reliability argument</w:t>
      </w:r>
    </w:p>
    <w:p>
      <w:pPr>
        <w:spacing w:after="120" w:before="80" w:line="320"/>
      </w:pPr>
      <w:r>
        <w:rPr>
          <w:rFonts w:ascii="Arial" w:cs="Arial" w:eastAsia="Arial" w:hAnsi="Arial"/>
          <w:color w:val="1A1410"/>
          <w:sz w:val="22"/>
          <w:szCs w:val="22"/>
        </w:rPr>
        <w:t xml:space="preserve">For a conversational AI instrument, the equivalent of test-retest reliability is inter-rater reliability — would two independent conversations produce the same energy ranking for the same person? Hue has a structural advantage: the scoring criteria are fully explicit in the system prompt, making the assessor perfectly consistent. No interviewer variance, no social desirability in questions, no subjective interpretation.</w:t>
      </w:r>
    </w:p>
    <w:p>
      <w:pPr>
        <w:spacing w:after="80" w:before="80"/>
      </w:pPr>
    </w:p>
    <w:p>
      <w:pPr>
        <w:pStyle w:val="Heading2"/>
        <w:spacing w:after="120" w:before="280"/>
      </w:pPr>
      <w:r>
        <w:rPr>
          <w:rFonts w:ascii="Arial" w:cs="Arial" w:eastAsia="Arial" w:hAnsi="Arial"/>
          <w:b/>
          <w:bCs/>
          <w:color w:val="1A1410"/>
          <w:sz w:val="26"/>
          <w:szCs w:val="26"/>
        </w:rPr>
        <w:t xml:space="preserve">Nigel Evans — role and next steps</w:t>
      </w:r>
    </w:p>
    <w:p>
      <w:pPr>
        <w:pStyle w:val="ListParagraph"/>
        <w:numPr>
          <w:ilvl w:val="0"/>
          <w:numId w:val="2"/>
        </w:numPr>
        <w:spacing w:after="60" w:before="60"/>
      </w:pPr>
      <w:r>
        <w:rPr>
          <w:rFonts w:ascii="Arial" w:cs="Arial" w:eastAsia="Arial" w:hAnsi="Arial"/>
          <w:color w:val="1A1410"/>
          <w:sz w:val="22"/>
          <w:szCs w:val="22"/>
        </w:rPr>
        <w:t xml:space="preserve">Review the six scoring dimensions for theoretical rigour and BPS alignment</w:t>
      </w:r>
    </w:p>
    <w:p>
      <w:pPr>
        <w:pStyle w:val="ListParagraph"/>
        <w:numPr>
          <w:ilvl w:val="0"/>
          <w:numId w:val="2"/>
        </w:numPr>
        <w:spacing w:after="60" w:before="60"/>
      </w:pPr>
      <w:r>
        <w:rPr>
          <w:rFonts w:ascii="Arial" w:cs="Arial" w:eastAsia="Arial" w:hAnsi="Arial"/>
          <w:color w:val="1A1410"/>
          <w:sz w:val="22"/>
          <w:szCs w:val="22"/>
        </w:rPr>
        <w:t xml:space="preserve">Co-design the validation study: instrument design, sample size, convergent validity measures</w:t>
      </w:r>
    </w:p>
    <w:p>
      <w:pPr>
        <w:pStyle w:val="ListParagraph"/>
        <w:numPr>
          <w:ilvl w:val="0"/>
          <w:numId w:val="2"/>
        </w:numPr>
        <w:spacing w:after="60" w:before="60"/>
      </w:pPr>
      <w:r>
        <w:rPr>
          <w:rFonts w:ascii="Arial" w:cs="Arial" w:eastAsia="Arial" w:hAnsi="Arial"/>
          <w:color w:val="1A1410"/>
          <w:sz w:val="22"/>
          <w:szCs w:val="22"/>
        </w:rPr>
        <w:t xml:space="preserve">Co-author the paper proposed in Section 5</w:t>
      </w:r>
    </w:p>
    <w:p>
      <w:pPr>
        <w:pStyle w:val="ListParagraph"/>
        <w:numPr>
          <w:ilvl w:val="0"/>
          <w:numId w:val="2"/>
        </w:numPr>
        <w:spacing w:after="60" w:before="60"/>
      </w:pPr>
      <w:r>
        <w:rPr>
          <w:rFonts w:ascii="Arial" w:cs="Arial" w:eastAsia="Arial" w:hAnsi="Arial"/>
          <w:color w:val="1A1410"/>
          <w:sz w:val="22"/>
          <w:szCs w:val="22"/>
        </w:rPr>
        <w:t xml:space="preserve">Advise on positioning Hue with the BPS and EFPA as a novel instrument type requiring new validation criteria</w:t>
      </w:r>
    </w:p>
    <w:p>
      <w:pPr>
        <w:spacing w:after="80" w:before="80"/>
      </w:pPr>
    </w:p>
    <w:p>
      <w:pPr>
        <w:pBdr>
          <w:left w:val="single" w:color="1A8C4E" w:sz="8"/>
        </w:pBdr>
        <w:spacing w:after="120" w:before="120"/>
        <w:ind w:left="360"/>
      </w:pPr>
      <w:r>
        <w:rPr>
          <w:rFonts w:ascii="Arial" w:cs="Arial" w:eastAsia="Arial" w:hAnsi="Arial"/>
          <w:b/>
          <w:bCs/>
          <w:color w:val="1A1410"/>
          <w:sz w:val="22"/>
          <w:szCs w:val="22"/>
        </w:rPr>
        <w:t xml:space="preserve">Action: Engage Nigel Evans before beta launch. Share this document as the starting brief. The joint paper should be in draft before Hue is marketed to any organisation with an occupational psychology function that will ask these questions.</w:t>
      </w:r>
    </w:p>
    <w:p>
      <w:pPr>
        <w:spacing w:after="80" w:before="80"/>
      </w:pPr>
    </w:p>
    <w:p>
      <w:pPr>
        <w:pStyle w:val="Heading2"/>
        <w:spacing w:after="120" w:before="280"/>
      </w:pPr>
      <w:r>
        <w:rPr>
          <w:rFonts w:ascii="Arial" w:cs="Arial" w:eastAsia="Arial" w:hAnsi="Arial"/>
          <w:b/>
          <w:bCs/>
          <w:color w:val="1A1410"/>
          <w:sz w:val="26"/>
          <w:szCs w:val="26"/>
        </w:rPr>
        <w:t xml:space="preserve">Positioning statement for professional bodies</w:t>
      </w:r>
    </w:p>
    <w:p>
      <w:pPr>
        <w:spacing w:after="120" w:before="80" w:line="320"/>
      </w:pPr>
      <w:r>
        <w:rPr>
          <w:rFonts w:ascii="Arial" w:cs="Arial" w:eastAsia="Arial" w:hAnsi="Arial"/>
          <w:color w:val="1A1410"/>
          <w:sz w:val="22"/>
          <w:szCs w:val="22"/>
        </w:rPr>
        <w:t xml:space="preserve">Hue does not claim to be a psychometric test in the traditional sense. It is a structured conversational AI instrument that measures behavioural energy preference through naturalistic language analysis. Its validity rests on six explicitly defined scoring dimensions, a rigorous theoretical foundation, and an ongoing validation study in progress.</w:t>
      </w:r>
    </w:p>
    <w:p>
      <w:pPr>
        <w:spacing w:after="120" w:before="80" w:line="300"/>
      </w:pPr>
      <w:r>
        <w:rPr>
          <w:rFonts w:ascii="Arial" w:cs="Arial" w:eastAsia="Arial" w:hAnsi="Arial"/>
          <w:i/>
          <w:iCs/>
          <w:color w:val="9B8E7E"/>
          <w:sz w:val="21"/>
          <w:szCs w:val="21"/>
        </w:rPr>
        <w:t xml:space="preserve">“Hue is a new kind of instrument. The theoretical foundations are rigorous. The validation study is in design. We are building the evidence base, not claiming it is complete.”</w:t>
      </w:r>
    </w:p>
    <w:p>
      <w:pPr>
        <w:spacing w:after="120" w:before="80" w:line="320"/>
      </w:pPr>
      <w:r>
        <w:rPr>
          <w:rFonts w:ascii="Arial" w:cs="Arial" w:eastAsia="Arial" w:hAnsi="Arial"/>
          <w:color w:val="1A1410"/>
          <w:sz w:val="22"/>
          <w:szCs w:val="22"/>
        </w:rPr>
        <w:t xml:space="preserve">That framing is more credible with serious psychologists than overclaiming would be. It also creates the opening for the joint paper.</w:t>
      </w:r>
    </w:p>
    <w:p>
      <w:pPr>
        <w:pBdr>
          <w:bottom w:val="single" w:color="E8DFC8" w:sz="4"/>
        </w:pBdr>
        <w:spacing w:after="240" w:before="240"/>
      </w:pPr>
    </w:p>
    <w:p>
      <w:pPr>
        <w:pStyle w:val="Heading1"/>
        <w:spacing w:after="160" w:before="400"/>
      </w:pPr>
      <w:r>
        <w:rPr>
          <w:rFonts w:ascii="Arial" w:cs="Arial" w:eastAsia="Arial" w:hAnsi="Arial"/>
          <w:b/>
          <w:bCs/>
          <w:color w:val="1A1410"/>
          <w:sz w:val="36"/>
          <w:szCs w:val="36"/>
        </w:rPr>
        <w:t xml:space="preserve">9. C4D Questionnaire — Cross-Reference Analysis</w:t>
      </w:r>
    </w:p>
    <w:p>
      <w:pPr>
        <w:spacing w:after="120" w:before="80" w:line="300"/>
      </w:pPr>
      <w:r>
        <w:rPr>
          <w:rFonts w:ascii="Arial" w:cs="Arial" w:eastAsia="Arial" w:hAnsi="Arial"/>
          <w:i/>
          <w:iCs/>
          <w:color w:val="9B8E7E"/>
          <w:sz w:val="21"/>
          <w:szCs w:val="21"/>
        </w:rPr>
        <w:t xml:space="preserve">Added April 2026. For internal reference only — C4D is separate IP. Never name or reference C4D in any user-facing Hue material.</w:t>
      </w:r>
    </w:p>
    <w:p>
      <w:pPr>
        <w:spacing w:after="80" w:before="80"/>
      </w:pPr>
    </w:p>
    <w:p>
      <w:pPr>
        <w:spacing w:after="120" w:before="80" w:line="320"/>
      </w:pPr>
      <w:r>
        <w:rPr>
          <w:rFonts w:ascii="Arial" w:cs="Arial" w:eastAsia="Arial" w:hAnsi="Arial"/>
          <w:b/>
          <w:bCs/>
          <w:color w:val="1A1410"/>
          <w:sz w:val="22"/>
          <w:szCs w:val="22"/>
        </w:rPr>
        <w:t xml:space="preserve">Instrument format</w:t>
      </w:r>
    </w:p>
    <w:p>
      <w:pPr>
        <w:spacing w:after="120" w:before="80" w:line="320"/>
      </w:pPr>
      <w:r>
        <w:rPr>
          <w:rFonts w:ascii="Arial" w:cs="Arial" w:eastAsia="Arial" w:hAnsi="Arial"/>
          <w:color w:val="1A1410"/>
          <w:sz w:val="22"/>
          <w:szCs w:val="22"/>
        </w:rPr>
        <w:t xml:space="preserve">A forced-choice ipsative instrument. 20 questions, each presenting four statements. Respondent marks Most like them (M), Least like them (L), and rates the remaining two on a 1–8 scale. Takes 10–20 minutes. Results processed by a consultant — not self-scoring. Assessment is static: no longitudinal element, no companion, no practice layer.</w:t>
      </w:r>
    </w:p>
    <w:p>
      <w:pPr>
        <w:spacing w:after="80" w:before="80"/>
      </w:pPr>
    </w:p>
    <w:p>
      <w:pPr>
        <w:pStyle w:val="Heading2"/>
        <w:spacing w:after="120" w:before="280"/>
      </w:pPr>
      <w:r>
        <w:rPr>
          <w:rFonts w:ascii="Arial" w:cs="Arial" w:eastAsia="Arial" w:hAnsi="Arial"/>
          <w:b/>
          <w:bCs/>
          <w:color w:val="1A1410"/>
          <w:sz w:val="26"/>
          <w:szCs w:val="26"/>
        </w:rPr>
        <w:t xml:space="preserve">Energy attribute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Hue energy</w:t>
            </w:r>
          </w:p>
        </w:tc>
        <w:tc>
          <w:tcPr>
            <w:tcW w:type="dxa" w:w="7426"/>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Cluster of attributes</w:t>
            </w:r>
          </w:p>
        </w:tc>
      </w:tr>
      <w:tr>
        <w:tc>
          <w:tcPr>
            <w:tcW w:type="dxa" w:w="1600"/>
            <w:tcBorders>
              <w:top w:val="single" w:color="CCCCCC" w:sz="1"/>
              <w:left w:val="single" w:color="CCCCCC" w:sz="1"/>
              <w:bottom w:val="single" w:color="CCCCCC" w:sz="1"/>
              <w:right w:val="single" w:color="CCCCCC" w:sz="1"/>
            </w:tcBorders>
            <w:shd w:fill="D92010" w:val="clear"/>
            <w:tcMar>
              <w:top w:type="dxa" w:w="80"/>
              <w:left w:type="dxa" w:w="120"/>
              <w:bottom w:type="dxa" w:w="80"/>
              <w:right w:type="dxa" w:w="120"/>
            </w:tcMar>
          </w:tcPr>
          <w:p>
            <w:r>
              <w:rPr>
                <w:rFonts w:ascii="Arial" w:cs="Arial" w:eastAsia="Arial" w:hAnsi="Arial"/>
                <w:b/>
                <w:bCs/>
                <w:color w:val="FFFFFF"/>
                <w:sz w:val="20"/>
                <w:szCs w:val="20"/>
              </w:rPr>
              <w:t xml:space="preserve">Spark (Red)</w:t>
            </w:r>
          </w:p>
        </w:tc>
        <w:tc>
          <w:tcPr>
            <w:tcW w:type="dxa" w:w="7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Decisive, assertive, bold, competitive, determined, goal-focused, commanding, results-focused, single-minded, dominant, driving, forceful, proactive, resolute, powerful, outspoken, tenacious, strong-willed, vigorous, ambitious, direct, challenging</w:t>
            </w:r>
          </w:p>
        </w:tc>
      </w:tr>
      <w:tr>
        <w:tc>
          <w:tcPr>
            <w:tcW w:type="dxa" w:w="1600"/>
            <w:tcBorders>
              <w:top w:val="single" w:color="CCCCCC" w:sz="1"/>
              <w:left w:val="single" w:color="CCCCCC" w:sz="1"/>
              <w:bottom w:val="single" w:color="CCCCCC" w:sz="1"/>
              <w:right w:val="single" w:color="CCCCCC" w:sz="1"/>
            </w:tcBorders>
            <w:shd w:fill="C8A800" w:val="clear"/>
            <w:tcMar>
              <w:top w:type="dxa" w:w="80"/>
              <w:left w:type="dxa" w:w="120"/>
              <w:bottom w:type="dxa" w:w="80"/>
              <w:right w:type="dxa" w:w="120"/>
            </w:tcMar>
          </w:tcPr>
          <w:p>
            <w:r>
              <w:rPr>
                <w:rFonts w:ascii="Arial" w:cs="Arial" w:eastAsia="Arial" w:hAnsi="Arial"/>
                <w:b/>
                <w:bCs/>
                <w:color w:val="FFFFFF"/>
                <w:sz w:val="20"/>
                <w:szCs w:val="20"/>
              </w:rPr>
              <w:t xml:space="preserve">Glow (Yellow)</w:t>
            </w:r>
          </w:p>
        </w:tc>
        <w:tc>
          <w:tcPr>
            <w:tcW w:type="dxa" w:w="7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Sociable, enthusiastic, optimistic, lively, fun-loving, expressive, animated, persuasive, cheerful, demonstrative, outgoing, playful, imaginative, charming, influential, popular, spontaneous, upbeat, humorous, interactive, spirited</w:t>
            </w:r>
          </w:p>
        </w:tc>
      </w:tr>
      <w:tr>
        <w:tc>
          <w:tcPr>
            <w:tcW w:type="dxa" w:w="1600"/>
            <w:tcBorders>
              <w:top w:val="single" w:color="CCCCCC" w:sz="1"/>
              <w:left w:val="single" w:color="CCCCCC" w:sz="1"/>
              <w:bottom w:val="single" w:color="CCCCCC" w:sz="1"/>
              <w:right w:val="single" w:color="CCCCCC" w:sz="1"/>
            </w:tcBorders>
            <w:shd w:fill="1A8C4E" w:val="clear"/>
            <w:tcMar>
              <w:top w:type="dxa" w:w="80"/>
              <w:left w:type="dxa" w:w="120"/>
              <w:bottom w:type="dxa" w:w="80"/>
              <w:right w:type="dxa" w:w="120"/>
            </w:tcMar>
          </w:tcPr>
          <w:p>
            <w:r>
              <w:rPr>
                <w:rFonts w:ascii="Arial" w:cs="Arial" w:eastAsia="Arial" w:hAnsi="Arial"/>
                <w:b/>
                <w:bCs/>
                <w:color w:val="FFFFFF"/>
                <w:sz w:val="20"/>
                <w:szCs w:val="20"/>
              </w:rPr>
              <w:t xml:space="preserve">Tend (Green)</w:t>
            </w:r>
          </w:p>
        </w:tc>
        <w:tc>
          <w:tcPr>
            <w:tcW w:type="dxa" w:w="7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Loyal, harmonious, supportive, peaceable, considerate, empathetic, tolerant, warm-hearted, caring, helpful, unselfish, diplomatic, approachable, faithful, patient, consistent, easy-going, principled, mild, moderate, attentive, reliable</w:t>
            </w:r>
          </w:p>
        </w:tc>
      </w:tr>
      <w:tr>
        <w:tc>
          <w:tcPr>
            <w:tcW w:type="dxa" w:w="1600"/>
            <w:tcBorders>
              <w:top w:val="single" w:color="CCCCCC" w:sz="1"/>
              <w:left w:val="single" w:color="CCCCCC" w:sz="1"/>
              <w:bottom w:val="single" w:color="CCCCCC" w:sz="1"/>
              <w:right w:val="single" w:color="CCCCCC" w:sz="1"/>
            </w:tcBorders>
            <w:shd w:fill="1755B8" w:val="clear"/>
            <w:tcMar>
              <w:top w:type="dxa" w:w="80"/>
              <w:left w:type="dxa" w:w="120"/>
              <w:bottom w:type="dxa" w:w="80"/>
              <w:right w:type="dxa" w:w="120"/>
            </w:tcMar>
          </w:tcPr>
          <w:p>
            <w:r>
              <w:rPr>
                <w:rFonts w:ascii="Arial" w:cs="Arial" w:eastAsia="Arial" w:hAnsi="Arial"/>
                <w:b/>
                <w:bCs/>
                <w:color w:val="FFFFFF"/>
                <w:sz w:val="20"/>
                <w:szCs w:val="20"/>
              </w:rPr>
              <w:t xml:space="preserve">Flow (Blue)</w:t>
            </w:r>
          </w:p>
        </w:tc>
        <w:tc>
          <w:tcPr>
            <w:tcW w:type="dxa" w:w="7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410"/>
                <w:sz w:val="20"/>
                <w:szCs w:val="20"/>
              </w:rPr>
              <w:t xml:space="preserve">Cautious, analytical, accurate, methodical, systematic, precise, reserved, logical, detailed, restrained, self-controlled, dispassionate, objective, concise, evaluating, reasoned, orderly, correct, painstaking, reflective, deliberate</w:t>
            </w:r>
          </w:p>
        </w:tc>
      </w:tr>
    </w:tbl>
    <w:p>
      <w:pPr>
        <w:spacing w:after="80" w:before="80"/>
      </w:pPr>
    </w:p>
    <w:p>
      <w:pPr>
        <w:pStyle w:val="Heading2"/>
        <w:spacing w:after="120" w:before="280"/>
      </w:pPr>
      <w:r>
        <w:rPr>
          <w:rFonts w:ascii="Arial" w:cs="Arial" w:eastAsia="Arial" w:hAnsi="Arial"/>
          <w:b/>
          <w:bCs/>
          <w:color w:val="1A1410"/>
          <w:sz w:val="26"/>
          <w:szCs w:val="26"/>
        </w:rPr>
        <w:t xml:space="preserve">Implications for BPS consistency</w:t>
      </w:r>
    </w:p>
    <w:p>
      <w:pPr>
        <w:spacing w:after="120" w:before="80" w:line="320"/>
      </w:pPr>
      <w:r>
        <w:rPr>
          <w:rFonts w:ascii="Arial" w:cs="Arial" w:eastAsia="Arial" w:hAnsi="Arial"/>
          <w:color w:val="1A1410"/>
          <w:sz w:val="22"/>
          <w:szCs w:val="22"/>
        </w:rPr>
        <w:t xml:space="preserve">The C4D questionnaire is a traditional ipsative forced-choice instrument. The BPS has documented concerns about ipsative scoring: choosing one option reduces scores on others, creating known limitations around reliability and cross-person score comparison.</w:t>
      </w:r>
    </w:p>
    <w:p>
      <w:pPr>
        <w:spacing w:after="120" w:before="80" w:line="320"/>
      </w:pPr>
      <w:r>
        <w:rPr>
          <w:rFonts w:ascii="Arial" w:cs="Arial" w:eastAsia="Arial" w:hAnsi="Arial"/>
          <w:color w:val="1A1410"/>
          <w:sz w:val="22"/>
          <w:szCs w:val="22"/>
        </w:rPr>
        <w:t xml:space="preserve">Hue’s conversational approach is not ipsative. It does not present forced choices. It derives preference from naturalistic language — methodologically distinct from C4D and from most existing instruments. This is both a challenge (no existing validation template applies directly) and an opportunity (Hue can make a genuine methodological advance).</w:t>
      </w:r>
    </w:p>
    <w:p>
      <w:pPr>
        <w:spacing w:after="120" w:before="80" w:line="320"/>
      </w:pPr>
      <w:r>
        <w:rPr>
          <w:rFonts w:ascii="Arial" w:cs="Arial" w:eastAsia="Arial" w:hAnsi="Arial"/>
          <w:color w:val="1A1410"/>
          <w:sz w:val="22"/>
          <w:szCs w:val="22"/>
        </w:rPr>
        <w:t xml:space="preserve">Hue should never describe itself as a psychometric test in clinical or regulatory contexts. The correct framing: a structured conversational instrument that surfaces energy preference through behavioural language analysis.</w:t>
      </w:r>
    </w:p>
    <w:p>
      <w:pPr>
        <w:spacing w:after="120" w:before="80" w:line="320"/>
      </w:pPr>
      <w:r>
        <w:rPr>
          <w:rFonts w:ascii="Arial" w:cs="Arial" w:eastAsia="Arial" w:hAnsi="Arial"/>
          <w:color w:val="1A1410"/>
          <w:sz w:val="22"/>
          <w:szCs w:val="22"/>
        </w:rPr>
        <w:t xml:space="preserve">For practitioners familiar with comparable instruments: the energy framework is recognisably aligned. The difference is in method and depth — conversation versus questionnaire, living profile versus static PDF, practice layer versus one-time workshop. Lead with that difference.</w:t>
      </w:r>
    </w:p>
    <w:p>
      <w:pPr>
        <w:pBdr>
          <w:bottom w:val="single" w:color="E8DFC8" w:sz="4"/>
        </w:pBdr>
        <w:spacing w:after="240" w:before="240"/>
      </w:pPr>
    </w:p>
    <w:p>
      <w:pPr>
        <w:spacing w:after="120" w:before="80" w:line="300"/>
      </w:pPr>
      <w:r>
        <w:rPr>
          <w:rFonts w:ascii="Arial" w:cs="Arial" w:eastAsia="Arial" w:hAnsi="Arial"/>
          <w:i/>
          <w:iCs/>
          <w:color w:val="9B8E7E"/>
          <w:sz w:val="21"/>
          <w:szCs w:val="21"/>
        </w:rPr>
        <w:t xml:space="preserve">All frameworks and citations are live design constraints, not background reading.</w:t>
      </w:r>
    </w:p>
    <w:p>
      <w:pPr>
        <w:spacing w:after="120" w:before="80" w:line="300"/>
      </w:pPr>
      <w:r>
        <w:rPr>
          <w:rFonts w:ascii="Arial" w:cs="Arial" w:eastAsia="Arial" w:hAnsi="Arial"/>
          <w:i/>
          <w:iCs/>
          <w:color w:val="9B8E7E"/>
          <w:sz w:val="21"/>
          <w:szCs w:val="21"/>
        </w:rPr>
        <w:t xml:space="preserve">IP belongs to Simon Phillips / The Change Maker Group.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B8E7E"/>
        <w:sz w:val="16"/>
        <w:szCs w:val="16"/>
      </w:rPr>
      <w:t xml:space="preserve">hue-psychology-foundations-v1  ·  myhue.co  ·  © Simon Phillips / The Change Maker Group  ·  p.</w:t>
    </w:r>
    <w:r>
      <w:rPr>
        <w:rFonts w:ascii="Arial" w:cs="Arial" w:eastAsia="Arial" w:hAnsi="Arial"/>
        <w:color w:val="9B8E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41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4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2026-04-06T12:04:35.469Z</dcterms:created>
  <dcterms:modified xsi:type="dcterms:W3CDTF">2026-04-06T12:04:35.470Z</dcterms:modified>
</cp:coreProperties>
</file>

<file path=docProps/custom.xml><?xml version="1.0" encoding="utf-8"?>
<Properties xmlns="http://schemas.openxmlformats.org/officeDocument/2006/custom-properties" xmlns:vt="http://schemas.openxmlformats.org/officeDocument/2006/docPropsVTypes"/>
</file>