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left"/>
      </w:pPr>
      <w:r>
        <w:rPr>
          <w:rFonts w:ascii="Arial" w:cs="Arial" w:eastAsia="Arial" w:hAnsi="Arial"/>
          <w:b/>
          <w:bCs/>
          <w:color w:val="1A1A1A"/>
          <w:sz w:val="56"/>
          <w:szCs w:val="56"/>
        </w:rPr>
        <w:t xml:space="preserve">Hue AI</w:t>
      </w:r>
    </w:p>
    <w:p>
      <w:pPr>
        <w:spacing w:after="80" w:before="0"/>
        <w:jc w:val="left"/>
      </w:pPr>
      <w:r>
        <w:rPr>
          <w:rFonts w:ascii="Arial" w:cs="Arial" w:eastAsia="Arial" w:hAnsi="Arial"/>
          <w:color w:val="444444"/>
          <w:sz w:val="40"/>
          <w:szCs w:val="40"/>
        </w:rPr>
        <w:t xml:space="preserve">Commercialisation Strategy</w:t>
      </w:r>
    </w:p>
    <w:p>
      <w:pPr>
        <w:spacing w:after="0" w:before="80"/>
        <w:jc w:val="left"/>
      </w:pPr>
      <w:r>
        <w:rPr>
          <w:rFonts w:ascii="Arial" w:cs="Arial" w:eastAsia="Arial" w:hAnsi="Arial"/>
          <w:i/>
          <w:iCs/>
          <w:color w:val="888888"/>
          <w:sz w:val="20"/>
          <w:szCs w:val="20"/>
        </w:rPr>
        <w:t xml:space="preserve">April 2026  ·  All decisions resolved — do not reopen without explicit instruction from Simon.</w:t>
      </w:r>
    </w:p>
    <w:p>
      <w:pPr>
        <w:spacing w:after="0" w:before="160"/>
      </w:pPr>
      <w:r>
        <w:t xml:space="preserve"/>
      </w:r>
    </w:p>
    <w:p>
      <w:pPr>
        <w:pBdr>
          <w:bottom w:val="single" w:color="E0E0E0" w:sz="4" w:space="1"/>
        </w:pBdr>
        <w:spacing w:after="200" w:before="200"/>
      </w:pPr>
    </w:p>
    <w:p>
      <w:pPr>
        <w:spacing w:after="0" w:before="1120"/>
      </w:pPr>
      <w:r>
        <w:t xml:space="preserve"/>
      </w:r>
    </w:p>
    <w:p>
      <w:pPr>
        <w:pStyle w:val="Heading1"/>
      </w:pPr>
      <w:r>
        <w:rPr>
          <w:rFonts w:ascii="Arial" w:cs="Arial" w:eastAsia="Arial" w:hAnsi="Arial"/>
          <w:b/>
          <w:bCs/>
          <w:color w:val="1A1A1A"/>
          <w:sz w:val="36"/>
          <w:szCs w:val="36"/>
        </w:rPr>
        <w:t xml:space="preserve">Revenue Target: £1M Year 1</w:t>
      </w:r>
    </w:p>
    <w:p>
      <w:pPr>
        <w:spacing w:after="80" w:before="80"/>
        <w:jc w:val="left"/>
      </w:pPr>
      <w:r>
        <w:rPr>
          <w:rFonts w:ascii="Arial" w:cs="Arial" w:eastAsia="Arial" w:hAnsi="Arial"/>
          <w:b w:val="false"/>
          <w:bCs w:val="false"/>
          <w:i w:val="false"/>
          <w:iCs w:val="false"/>
          <w:color w:val="1A1A1A"/>
          <w:sz w:val="22"/>
          <w:szCs w:val="22"/>
        </w:rPr>
        <w:t xml:space="preserve">The path to £1M runs across three channels simultaneously. Retail grows organically through product sharing. B2B requires direct outreach from week one. The training partner channel multiplies both.</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1928"/>
        <w:gridCol w:w="2410"/>
        <w:gridCol w:w="1928"/>
      </w:tblGrid>
      <w:tr>
        <w:tc>
          <w:tcPr>
            <w:tcW w:type="dxa" w:w="3373"/>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Channel</w:t>
            </w:r>
          </w:p>
        </w:tc>
        <w:tc>
          <w:tcPr>
            <w:tcW w:type="dxa" w:w="1928"/>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Target</w:t>
            </w:r>
          </w:p>
        </w:tc>
        <w:tc>
          <w:tcPr>
            <w:tcW w:type="dxa" w:w="241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Unit value</w:t>
            </w:r>
          </w:p>
        </w:tc>
        <w:tc>
          <w:tcPr>
            <w:tcW w:type="dxa" w:w="1928"/>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Revenue</w:t>
            </w:r>
          </w:p>
        </w:tc>
      </w:tr>
      <w:tr>
        <w:tc>
          <w:tcPr>
            <w:tcW w:type="dxa" w:w="337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Individual subscribers</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2,000 annual</w:t>
            </w:r>
          </w:p>
        </w:tc>
        <w:tc>
          <w:tcPr>
            <w:tcW w:type="dxa" w:w="241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£79/yr</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£158K</w:t>
            </w:r>
          </w:p>
        </w:tc>
      </w:tr>
      <w:tr>
        <w:tc>
          <w:tcPr>
            <w:tcW w:type="dxa" w:w="337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Organisational clients</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8 × 50 seats</w:t>
            </w:r>
          </w:p>
        </w:tc>
        <w:tc>
          <w:tcPr>
            <w:tcW w:type="dxa" w:w="241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£57.6K/yr each</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£461K</w:t>
            </w:r>
          </w:p>
        </w:tc>
      </w:tr>
      <w:tr>
        <w:tc>
          <w:tcPr>
            <w:tcW w:type="dxa" w:w="337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Facilitator tier</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60 subscribers</w:t>
            </w:r>
          </w:p>
        </w:tc>
        <w:tc>
          <w:tcPr>
            <w:tcW w:type="dxa" w:w="241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£588/yr</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£35K</w:t>
            </w:r>
          </w:p>
        </w:tc>
      </w:tr>
      <w:tr>
        <w:tc>
          <w:tcPr>
            <w:tcW w:type="dxa" w:w="337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Org training add-on</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10 sessions</w:t>
            </w:r>
          </w:p>
        </w:tc>
        <w:tc>
          <w:tcPr>
            <w:tcW w:type="dxa" w:w="241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£5K each</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£50K</w:t>
            </w:r>
          </w:p>
        </w:tc>
      </w:tr>
      <w:tr>
        <w:tc>
          <w:tcPr>
            <w:tcW w:type="dxa" w:w="337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Indicative total</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
            </w:r>
          </w:p>
        </w:tc>
        <w:tc>
          <w:tcPr>
            <w:tcW w:type="dxa" w:w="241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~£704K base</w:t>
            </w:r>
          </w:p>
        </w:tc>
      </w:tr>
    </w:tbl>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The gap to £1M closes through training partner channel revenue and organisational upsell. These are not stretch targets — they are the natural commercial extension of the product once the core energy explorations and observations are built.</w:t>
      </w:r>
    </w:p>
    <w:p>
      <w:pPr>
        <w:spacing w:after="0" w:before="160"/>
      </w:pPr>
      <w:r>
        <w:t xml:space="preserve"/>
      </w:r>
    </w:p>
    <w:p>
      <w:pPr>
        <w:pStyle w:val="Heading1"/>
      </w:pPr>
      <w:r>
        <w:rPr>
          <w:rFonts w:ascii="Arial" w:cs="Arial" w:eastAsia="Arial" w:hAnsi="Arial"/>
          <w:b/>
          <w:bCs/>
          <w:color w:val="1A1A1A"/>
          <w:sz w:val="36"/>
          <w:szCs w:val="36"/>
        </w:rPr>
        <w:t xml:space="preserve">Pricing Model</w:t>
      </w:r>
    </w:p>
    <w:p>
      <w:pPr>
        <w:spacing w:after="60" w:before="60"/>
      </w:pPr>
      <w:r>
        <w:rPr>
          <w:rFonts w:ascii="Arial" w:cs="Arial" w:eastAsia="Arial" w:hAnsi="Arial"/>
          <w:i/>
          <w:iCs/>
          <w:color w:val="888888"/>
          <w:sz w:val="20"/>
          <w:szCs w:val="20"/>
        </w:rPr>
        <w:t xml:space="preserve">The free tier has been replaced by a 14-day trial. Card required at sign-up for individuals. Org/team members register free under their org contract.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1928"/>
        <w:gridCol w:w="5012"/>
      </w:tblGrid>
      <w:tr>
        <w:tc>
          <w:tcPr>
            <w:tcW w:type="dxa" w:w="2699"/>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Tier</w:t>
            </w:r>
          </w:p>
        </w:tc>
        <w:tc>
          <w:tcPr>
            <w:tcW w:type="dxa" w:w="1928"/>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Price</w:t>
            </w:r>
          </w:p>
        </w:tc>
        <w:tc>
          <w:tcPr>
            <w:tcW w:type="dxa" w:w="5012"/>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Notes</w:t>
            </w:r>
          </w:p>
        </w:tc>
      </w:tr>
      <w:tr>
        <w:tc>
          <w:tcPr>
            <w:tcW w:type="dxa" w:w="269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Individual trial</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Free for 14 days</w:t>
            </w:r>
          </w:p>
        </w:tc>
        <w:tc>
          <w:tcPr>
            <w:tcW w:type="dxa" w:w="501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Card required at sign-up. Full access — all four energy conversations. Hard stop at day 14 if no payment.</w:t>
            </w:r>
          </w:p>
        </w:tc>
      </w:tr>
      <w:tr>
        <w:tc>
          <w:tcPr>
            <w:tcW w:type="dxa" w:w="269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Individual paid</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£9.99/month or £79/year</w:t>
            </w:r>
          </w:p>
        </w:tc>
        <w:tc>
          <w:tcPr>
            <w:tcW w:type="dxa" w:w="501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Auto-converts at trial end. Profile retained through any gap.</w:t>
            </w:r>
          </w:p>
        </w:tc>
      </w:tr>
      <w:tr>
        <w:tc>
          <w:tcPr>
            <w:tcW w:type="dxa" w:w="269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Prospect pilot</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£200–300 flat</w:t>
            </w:r>
          </w:p>
        </w:tc>
        <w:tc>
          <w:tcPr>
            <w:tcW w:type="dxa" w:w="501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Up to 10 seats, 30 days. Credited against first year contract on conversion. See Prospect Pilot section.</w:t>
            </w:r>
          </w:p>
        </w:tc>
      </w:tr>
      <w:tr>
        <w:tc>
          <w:tcPr>
            <w:tcW w:type="dxa" w:w="269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Organisational</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£8/seat/month</w:t>
            </w:r>
          </w:p>
        </w:tc>
        <w:tc>
          <w:tcPr>
            <w:tcW w:type="dxa" w:w="501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Annual contract, min 10 seats. Team dashboard included. Team members register free — no trial clock.</w:t>
            </w:r>
          </w:p>
        </w:tc>
      </w:tr>
      <w:tr>
        <w:tc>
          <w:tcPr>
            <w:tcW w:type="dxa" w:w="269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Not-for-profit / charity</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£6/seat/month</w:t>
            </w:r>
          </w:p>
        </w:tc>
        <w:tc>
          <w:tcPr>
            <w:tcW w:type="dxa" w:w="501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25% discount — applied in conversation, not advertised publicly.</w:t>
            </w:r>
          </w:p>
        </w:tc>
      </w:tr>
      <w:tr>
        <w:tc>
          <w:tcPr>
            <w:tcW w:type="dxa" w:w="269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Facilitator tier</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£49/month</w:t>
            </w:r>
          </w:p>
        </w:tc>
        <w:tc>
          <w:tcPr>
            <w:tcW w:type="dxa" w:w="501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Up to 20 active clients.</w:t>
            </w:r>
          </w:p>
        </w:tc>
      </w:tr>
      <w:tr>
        <w:tc>
          <w:tcPr>
            <w:tcW w:type="dxa" w:w="2699"/>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Training partner seats</w:t>
            </w:r>
          </w:p>
        </w:tc>
        <w:tc>
          <w:tcPr>
            <w:tcW w:type="dxa" w:w="1928"/>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£5/seat/month</w:t>
            </w:r>
          </w:p>
        </w:tc>
        <w:tc>
          <w:tcPr>
            <w:tcW w:type="dxa" w:w="501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Partner rate — see Training Partner section.</w:t>
            </w:r>
          </w:p>
        </w:tc>
      </w:tr>
    </w:tbl>
    <w:p>
      <w:pPr>
        <w:spacing w:after="0" w:before="160"/>
      </w:pPr>
      <w:r>
        <w:t xml:space="preserve"/>
      </w:r>
    </w:p>
    <w:p>
      <w:pPr>
        <w:pStyle w:val="Heading1"/>
      </w:pPr>
      <w:r>
        <w:rPr>
          <w:rFonts w:ascii="Arial" w:cs="Arial" w:eastAsia="Arial" w:hAnsi="Arial"/>
          <w:b/>
          <w:bCs/>
          <w:color w:val="1A1A1A"/>
          <w:sz w:val="36"/>
          <w:szCs w:val="36"/>
        </w:rPr>
        <w:t xml:space="preserve">The Three Customer Channels</w:t>
      </w:r>
    </w:p>
    <w:p>
      <w:pPr>
        <w:pStyle w:val="Heading2"/>
      </w:pPr>
      <w:r>
        <w:rPr>
          <w:rFonts w:ascii="Arial" w:cs="Arial" w:eastAsia="Arial" w:hAnsi="Arial"/>
          <w:b/>
          <w:bCs/>
          <w:color w:val="1A1A1A"/>
          <w:sz w:val="26"/>
          <w:szCs w:val="26"/>
        </w:rPr>
        <w:t xml:space="preserve">1. Retail — Self-development individuals</w:t>
      </w:r>
    </w:p>
    <w:p>
      <w:pPr>
        <w:spacing w:after="40" w:before="200"/>
      </w:pPr>
      <w:r>
        <w:rPr>
          <w:rFonts w:ascii="Arial" w:cs="Arial" w:eastAsia="Arial" w:hAnsi="Arial"/>
          <w:b/>
          <w:bCs/>
          <w:caps/>
          <w:color w:val="888888"/>
          <w:sz w:val="20"/>
          <w:szCs w:val="20"/>
        </w:rPr>
        <w:t xml:space="preserve">Acquisition</w:t>
      </w:r>
    </w:p>
    <w:p>
      <w:pPr>
        <w:spacing w:after="80" w:before="80"/>
        <w:jc w:val="left"/>
      </w:pPr>
      <w:r>
        <w:rPr>
          <w:rFonts w:ascii="Arial" w:cs="Arial" w:eastAsia="Arial" w:hAnsi="Arial"/>
          <w:b w:val="false"/>
          <w:bCs w:val="false"/>
          <w:i w:val="false"/>
          <w:iCs w:val="false"/>
          <w:color w:val="1A1A1A"/>
          <w:sz w:val="22"/>
          <w:szCs w:val="22"/>
        </w:rPr>
        <w:t xml:space="preserve">Shareable result card drives organic growth — zero ad spend required. The card shows all four energies, each celebrated. Creates peer conversation and inbound curiosity across all energy types.</w:t>
      </w:r>
    </w:p>
    <w:p>
      <w:pPr>
        <w:spacing w:after="0" w:before="80"/>
      </w:pPr>
      <w:r>
        <w:t xml:space="preserve"/>
      </w:r>
    </w:p>
    <w:p>
      <w:pPr>
        <w:spacing w:after="40" w:before="200"/>
      </w:pPr>
      <w:r>
        <w:rPr>
          <w:rFonts w:ascii="Arial" w:cs="Arial" w:eastAsia="Arial" w:hAnsi="Arial"/>
          <w:b/>
          <w:bCs/>
          <w:caps/>
          <w:color w:val="888888"/>
          <w:sz w:val="20"/>
          <w:szCs w:val="20"/>
        </w:rPr>
        <w:t xml:space="preserve">Trial flywheel</w:t>
      </w:r>
    </w:p>
    <w:p>
      <w:pPr>
        <w:spacing w:after="80" w:before="80"/>
        <w:jc w:val="left"/>
      </w:pPr>
      <w:r>
        <w:rPr>
          <w:rFonts w:ascii="Arial" w:cs="Arial" w:eastAsia="Arial" w:hAnsi="Arial"/>
          <w:b w:val="false"/>
          <w:bCs w:val="false"/>
          <w:i w:val="false"/>
          <w:iCs w:val="false"/>
          <w:color w:val="1A1A1A"/>
          <w:sz w:val="22"/>
          <w:szCs w:val="22"/>
        </w:rPr>
        <w:t xml:space="preserve">Card required at sign-up → 14-day full access → high-intent conversion. Lower sign-up volume than a free tier but significantly higher conversion intent. Opt-out trial benchmarks: 49–60% conversion vs 18–25% for opt-in.</w:t>
      </w:r>
    </w:p>
    <w:p>
      <w:pPr>
        <w:spacing w:after="0" w:before="80"/>
      </w:pPr>
      <w:r>
        <w:t xml:space="preserve"/>
      </w:r>
    </w:p>
    <w:p>
      <w:pPr>
        <w:spacing w:after="40" w:before="200"/>
      </w:pPr>
      <w:r>
        <w:rPr>
          <w:rFonts w:ascii="Arial" w:cs="Arial" w:eastAsia="Arial" w:hAnsi="Arial"/>
          <w:b/>
          <w:bCs/>
          <w:caps/>
          <w:color w:val="888888"/>
          <w:sz w:val="20"/>
          <w:szCs w:val="20"/>
        </w:rPr>
        <w:t xml:space="preserve">Conversion</w:t>
      </w:r>
    </w:p>
    <w:p>
      <w:pPr>
        <w:spacing w:after="80" w:before="80"/>
        <w:jc w:val="left"/>
      </w:pPr>
      <w:r>
        <w:rPr>
          <w:rFonts w:ascii="Arial" w:cs="Arial" w:eastAsia="Arial" w:hAnsi="Arial"/>
          <w:b w:val="false"/>
          <w:bCs w:val="false"/>
          <w:i w:val="false"/>
          <w:iCs w:val="false"/>
          <w:color w:val="1A1A1A"/>
          <w:sz w:val="22"/>
          <w:szCs w:val="22"/>
        </w:rPr>
        <w:t xml:space="preserve">All four energy conversations during the trial create genuine pull toward subscribing — users have invested in their profile and the companion has started to know them. Loss aversion at day 14 is real and earned.</w:t>
      </w:r>
    </w:p>
    <w:p>
      <w:pPr>
        <w:spacing w:after="0" w:before="80"/>
      </w:pPr>
      <w:r>
        <w:t xml:space="preserve"/>
      </w:r>
    </w:p>
    <w:p>
      <w:pPr>
        <w:spacing w:after="40" w:before="200"/>
      </w:pPr>
      <w:r>
        <w:rPr>
          <w:rFonts w:ascii="Arial" w:cs="Arial" w:eastAsia="Arial" w:hAnsi="Arial"/>
          <w:b/>
          <w:bCs/>
          <w:caps/>
          <w:color w:val="888888"/>
          <w:sz w:val="20"/>
          <w:szCs w:val="20"/>
        </w:rPr>
        <w:t xml:space="preserve">Transition to paid</w:t>
      </w:r>
    </w:p>
    <w:p>
      <w:pPr>
        <w:spacing w:after="80" w:before="80"/>
        <w:jc w:val="left"/>
      </w:pPr>
      <w:r>
        <w:rPr>
          <w:rFonts w:ascii="Arial" w:cs="Arial" w:eastAsia="Arial" w:hAnsi="Arial"/>
          <w:b w:val="false"/>
          <w:bCs w:val="false"/>
          <w:i w:val="false"/>
          <w:iCs w:val="false"/>
          <w:color w:val="1A1A1A"/>
          <w:sz w:val="22"/>
          <w:szCs w:val="22"/>
        </w:rPr>
        <w:t xml:space="preserve">"Your trial has ended. Subscribe to continue. Your profile is saved and waiting." Direct, warm, no guilt. Profile safety is the sell.</w:t>
      </w:r>
    </w:p>
    <w:p>
      <w:pPr>
        <w:spacing w:after="0" w:before="160"/>
      </w:pPr>
      <w:r>
        <w:t xml:space="preserve"/>
      </w:r>
    </w:p>
    <w:p>
      <w:pPr>
        <w:pStyle w:val="Heading2"/>
      </w:pPr>
      <w:r>
        <w:rPr>
          <w:rFonts w:ascii="Arial" w:cs="Arial" w:eastAsia="Arial" w:hAnsi="Arial"/>
          <w:b/>
          <w:bCs/>
          <w:color w:val="1A1A1A"/>
          <w:sz w:val="26"/>
          <w:szCs w:val="26"/>
        </w:rPr>
        <w:t xml:space="preserve">2. Organisational — Leaders buying for staff</w:t>
      </w:r>
    </w:p>
    <w:p>
      <w:pPr>
        <w:spacing w:after="40" w:before="200"/>
      </w:pPr>
      <w:r>
        <w:rPr>
          <w:rFonts w:ascii="Arial" w:cs="Arial" w:eastAsia="Arial" w:hAnsi="Arial"/>
          <w:b/>
          <w:bCs/>
          <w:caps/>
          <w:color w:val="888888"/>
          <w:sz w:val="20"/>
          <w:szCs w:val="20"/>
        </w:rPr>
        <w:t xml:space="preserve">What they're buying</w:t>
      </w:r>
    </w:p>
    <w:p>
      <w:pPr>
        <w:spacing w:after="80" w:before="80"/>
        <w:jc w:val="left"/>
      </w:pPr>
      <w:r>
        <w:rPr>
          <w:rFonts w:ascii="Arial" w:cs="Arial" w:eastAsia="Arial" w:hAnsi="Arial"/>
          <w:b w:val="false"/>
          <w:bCs w:val="false"/>
          <w:i w:val="false"/>
          <w:iCs w:val="false"/>
          <w:color w:val="1A1A1A"/>
          <w:sz w:val="22"/>
          <w:szCs w:val="22"/>
        </w:rPr>
        <w:t xml:space="preserve">The team layer — aggregate energy mapping, composition analysis, Hue-generated prompts for the team's specific profile. They never see individual results.</w:t>
      </w:r>
    </w:p>
    <w:p>
      <w:pPr>
        <w:spacing w:after="0" w:before="80"/>
      </w:pPr>
      <w:r>
        <w:t xml:space="preserve"/>
      </w:r>
    </w:p>
    <w:p>
      <w:pPr>
        <w:spacing w:after="40" w:before="200"/>
      </w:pPr>
      <w:r>
        <w:rPr>
          <w:rFonts w:ascii="Arial" w:cs="Arial" w:eastAsia="Arial" w:hAnsi="Arial"/>
          <w:b/>
          <w:bCs/>
          <w:caps/>
          <w:color w:val="888888"/>
          <w:sz w:val="20"/>
          <w:szCs w:val="20"/>
        </w:rPr>
        <w:t xml:space="preserve">Individual ownership</w:t>
      </w:r>
    </w:p>
    <w:p>
      <w:pPr>
        <w:spacing w:after="80" w:before="80"/>
        <w:jc w:val="left"/>
      </w:pPr>
      <w:r>
        <w:rPr>
          <w:rFonts w:ascii="Arial" w:cs="Arial" w:eastAsia="Arial" w:hAnsi="Arial"/>
          <w:b w:val="false"/>
          <w:bCs w:val="false"/>
          <w:i w:val="false"/>
          <w:iCs w:val="false"/>
          <w:color w:val="1A1A1A"/>
          <w:sz w:val="22"/>
          <w:szCs w:val="22"/>
        </w:rPr>
        <w:t xml:space="preserve">The profile belongs to the individual, not the employer. It travels with them when they leave. "Your profile is yours. We can't see your individual result. We only see the team picture."</w:t>
      </w:r>
    </w:p>
    <w:p>
      <w:pPr>
        <w:spacing w:after="0" w:before="80"/>
      </w:pPr>
      <w:r>
        <w:t xml:space="preserve"/>
      </w:r>
    </w:p>
    <w:p>
      <w:pPr>
        <w:spacing w:after="40" w:before="200"/>
      </w:pPr>
      <w:r>
        <w:rPr>
          <w:rFonts w:ascii="Arial" w:cs="Arial" w:eastAsia="Arial" w:hAnsi="Arial"/>
          <w:b/>
          <w:bCs/>
          <w:caps/>
          <w:color w:val="888888"/>
          <w:sz w:val="20"/>
          <w:szCs w:val="20"/>
        </w:rPr>
        <w:t xml:space="preserve">Competitive context</w:t>
      </w:r>
    </w:p>
    <w:p>
      <w:pPr>
        <w:spacing w:after="80" w:before="80"/>
        <w:jc w:val="left"/>
      </w:pPr>
      <w:r>
        <w:rPr>
          <w:rFonts w:ascii="Arial" w:cs="Arial" w:eastAsia="Arial" w:hAnsi="Arial"/>
          <w:b w:val="false"/>
          <w:bCs w:val="false"/>
          <w:i w:val="false"/>
          <w:iCs w:val="false"/>
          <w:color w:val="1A1A1A"/>
          <w:sz w:val="22"/>
          <w:szCs w:val="22"/>
        </w:rPr>
        <w:t xml:space="preserve">Most organisations bought Insights Discovery once — not annually. They paid £85–130 per person for a static PDF, ran one workshop, and the data has been dormant ever since. The Hue subscription conversation is not 'why pay annually when you paid annually before' — it is 'why pay anything ongoing when you paid once before.'</w:t>
      </w:r>
    </w:p>
    <w:p>
      <w:pPr>
        <w:spacing w:after="80" w:before="80"/>
        <w:jc w:val="left"/>
      </w:pPr>
      <w:r>
        <w:rPr>
          <w:rFonts w:ascii="Arial" w:cs="Arial" w:eastAsia="Arial" w:hAnsi="Arial"/>
          <w:b w:val="false"/>
          <w:bCs w:val="false"/>
          <w:i w:val="false"/>
          <w:iCs w:val="false"/>
          <w:color w:val="1A1A1A"/>
          <w:sz w:val="22"/>
          <w:szCs w:val="22"/>
        </w:rPr>
        <w:t xml:space="preserve">The answer: What they paid for is finished. Hue never is.</w:t>
      </w:r>
    </w:p>
    <w:p>
      <w:pPr>
        <w:spacing w:after="0" w:before="80"/>
      </w:pPr>
      <w:r>
        <w:t xml:space="preserve"/>
      </w:r>
    </w:p>
    <w:p>
      <w:pPr>
        <w:spacing w:after="40" w:before="200"/>
      </w:pPr>
      <w:r>
        <w:rPr>
          <w:rFonts w:ascii="Arial" w:cs="Arial" w:eastAsia="Arial" w:hAnsi="Arial"/>
          <w:b/>
          <w:bCs/>
          <w:caps/>
          <w:color w:val="888888"/>
          <w:sz w:val="20"/>
          <w:szCs w:val="20"/>
        </w:rPr>
        <w:t xml:space="preserve">Opening question to a buyer</w:t>
      </w:r>
    </w:p>
    <w:p>
      <w:pPr>
        <w:spacing w:after="80" w:before="80"/>
        <w:jc w:val="left"/>
      </w:pPr>
      <w:r>
        <w:rPr>
          <w:rFonts w:ascii="Arial" w:cs="Arial" w:eastAsia="Arial" w:hAnsi="Arial"/>
          <w:b w:val="false"/>
          <w:bCs w:val="false"/>
          <w:i w:val="false"/>
          <w:iCs w:val="false"/>
          <w:color w:val="1A1A1A"/>
          <w:sz w:val="22"/>
          <w:szCs w:val="22"/>
        </w:rPr>
        <w:t xml:space="preserve">"What happened to your last Insights Discovery profiles?" The answer is almost always: "We did a workshop, people liked it, and then nothing." That gap is where Hue lives.</w:t>
      </w:r>
    </w:p>
    <w:p>
      <w:pPr>
        <w:spacing w:after="0" w:before="80"/>
      </w:pPr>
      <w:r>
        <w:t xml:space="preserve"/>
      </w:r>
    </w:p>
    <w:p>
      <w:pPr>
        <w:spacing w:after="40" w:before="200"/>
      </w:pPr>
      <w:r>
        <w:rPr>
          <w:rFonts w:ascii="Arial" w:cs="Arial" w:eastAsia="Arial" w:hAnsi="Arial"/>
          <w:b/>
          <w:bCs/>
          <w:caps/>
          <w:color w:val="888888"/>
          <w:sz w:val="20"/>
          <w:szCs w:val="20"/>
        </w:rPr>
        <w:t xml:space="preserve">Cost framing</w:t>
      </w:r>
    </w:p>
    <w:p>
      <w:pPr>
        <w:spacing w:after="80" w:before="80"/>
        <w:jc w:val="left"/>
      </w:pPr>
      <w:r>
        <w:rPr>
          <w:rFonts w:ascii="Arial" w:cs="Arial" w:eastAsia="Arial" w:hAnsi="Arial"/>
          <w:b w:val="false"/>
          <w:bCs w:val="false"/>
          <w:i w:val="false"/>
          <w:iCs w:val="false"/>
          <w:color w:val="1A1A1A"/>
          <w:sz w:val="22"/>
          <w:szCs w:val="22"/>
        </w:rPr>
        <w:t xml:space="preserve">Insights Discovery cost £85–130 per person once. Hue at £8/seat/month is £96/year. "For roughly what you spent three years ago on something that stopped working, you get something that never stops."</w:t>
      </w:r>
    </w:p>
    <w:p>
      <w:pPr>
        <w:spacing w:after="0" w:before="80"/>
      </w:pPr>
      <w:r>
        <w:t xml:space="preserve"/>
      </w:r>
    </w:p>
    <w:p>
      <w:pPr>
        <w:spacing w:after="40" w:before="200"/>
      </w:pPr>
      <w:r>
        <w:rPr>
          <w:rFonts w:ascii="Arial" w:cs="Arial" w:eastAsia="Arial" w:hAnsi="Arial"/>
          <w:b/>
          <w:bCs/>
          <w:caps/>
          <w:color w:val="888888"/>
          <w:sz w:val="20"/>
          <w:szCs w:val="20"/>
        </w:rPr>
        <w:t xml:space="preserve">Acquisition motion</w:t>
      </w:r>
    </w:p>
    <w:p>
      <w:pPr>
        <w:spacing w:after="80" w:before="80"/>
        <w:jc w:val="left"/>
      </w:pPr>
      <w:r>
        <w:rPr>
          <w:rFonts w:ascii="Arial" w:cs="Arial" w:eastAsia="Arial" w:hAnsi="Arial"/>
          <w:b w:val="false"/>
          <w:bCs w:val="false"/>
          <w:i w:val="false"/>
          <w:iCs w:val="false"/>
          <w:color w:val="1A1A1A"/>
          <w:sz w:val="22"/>
          <w:szCs w:val="22"/>
        </w:rPr>
        <w:t xml:space="preserve">Cannot wait for the organic flywheel alone — requires direct outreach to L&amp;D directors and People teams from week one. Target 8 clients in Year 1.</w:t>
      </w:r>
    </w:p>
    <w:p>
      <w:pPr>
        <w:spacing w:after="0" w:before="160"/>
      </w:pPr>
      <w:r>
        <w:t xml:space="preserve"/>
      </w:r>
    </w:p>
    <w:p>
      <w:pPr>
        <w:pStyle w:val="Heading2"/>
      </w:pPr>
      <w:r>
        <w:rPr>
          <w:rFonts w:ascii="Arial" w:cs="Arial" w:eastAsia="Arial" w:hAnsi="Arial"/>
          <w:b/>
          <w:bCs/>
          <w:color w:val="1A1A1A"/>
          <w:sz w:val="26"/>
          <w:szCs w:val="26"/>
        </w:rPr>
        <w:t xml:space="preserve">3. Facilitators and Coaches</w:t>
      </w:r>
    </w:p>
    <w:p>
      <w:pPr>
        <w:spacing w:after="40" w:before="200"/>
      </w:pPr>
      <w:r>
        <w:rPr>
          <w:rFonts w:ascii="Arial" w:cs="Arial" w:eastAsia="Arial" w:hAnsi="Arial"/>
          <w:b/>
          <w:bCs/>
          <w:caps/>
          <w:color w:val="888888"/>
          <w:sz w:val="20"/>
          <w:szCs w:val="20"/>
        </w:rPr>
        <w:t xml:space="preserve">The pitch</w:t>
      </w:r>
    </w:p>
    <w:p>
      <w:pPr>
        <w:spacing w:after="80" w:before="80"/>
        <w:jc w:val="left"/>
      </w:pPr>
      <w:r>
        <w:rPr>
          <w:rFonts w:ascii="Arial" w:cs="Arial" w:eastAsia="Arial" w:hAnsi="Arial"/>
          <w:b w:val="false"/>
          <w:bCs w:val="false"/>
          <w:i w:val="false"/>
          <w:iCs w:val="false"/>
          <w:color w:val="1A1A1A"/>
          <w:sz w:val="22"/>
          <w:szCs w:val="22"/>
        </w:rPr>
        <w:t xml:space="preserve">Not 'cheaper Insights Discovery.' It's 'give your clients something that keeps working after you leave the room.' The AI companion continues between sessions. No accreditation course required.</w:t>
      </w:r>
    </w:p>
    <w:p>
      <w:pPr>
        <w:spacing w:after="0" w:before="80"/>
      </w:pPr>
      <w:r>
        <w:t xml:space="preserve"/>
      </w:r>
    </w:p>
    <w:p>
      <w:pPr>
        <w:spacing w:after="40" w:before="200"/>
      </w:pPr>
      <w:r>
        <w:rPr>
          <w:rFonts w:ascii="Arial" w:cs="Arial" w:eastAsia="Arial" w:hAnsi="Arial"/>
          <w:b/>
          <w:bCs/>
          <w:caps/>
          <w:color w:val="888888"/>
          <w:sz w:val="20"/>
          <w:szCs w:val="20"/>
        </w:rPr>
        <w:t xml:space="preserve">Multiplier effect</w:t>
      </w:r>
    </w:p>
    <w:p>
      <w:pPr>
        <w:spacing w:after="80" w:before="80"/>
        <w:jc w:val="left"/>
      </w:pPr>
      <w:r>
        <w:rPr>
          <w:rFonts w:ascii="Arial" w:cs="Arial" w:eastAsia="Arial" w:hAnsi="Arial"/>
          <w:b w:val="false"/>
          <w:bCs w:val="false"/>
          <w:i w:val="false"/>
          <w:iCs w:val="false"/>
          <w:color w:val="1A1A1A"/>
          <w:sz w:val="22"/>
          <w:szCs w:val="22"/>
        </w:rPr>
        <w:t xml:space="preserve">Each facilitator using Hue with 15 clients creates 15 people who mention it at work. Some of those workplaces become organisational clients. The facilitator channel has a multiplier effect that retail and direct B2B don't.</w:t>
      </w:r>
    </w:p>
    <w:p>
      <w:pPr>
        <w:spacing w:after="0" w:before="80"/>
      </w:pPr>
      <w:r>
        <w:t xml:space="preserve"/>
      </w:r>
    </w:p>
    <w:p>
      <w:pPr>
        <w:spacing w:after="40" w:before="200"/>
      </w:pPr>
      <w:r>
        <w:rPr>
          <w:rFonts w:ascii="Arial" w:cs="Arial" w:eastAsia="Arial" w:hAnsi="Arial"/>
          <w:b/>
          <w:bCs/>
          <w:caps/>
          <w:color w:val="888888"/>
          <w:sz w:val="20"/>
          <w:szCs w:val="20"/>
        </w:rPr>
        <w:t xml:space="preserve">Early strategy</w:t>
      </w:r>
    </w:p>
    <w:p>
      <w:pPr>
        <w:spacing w:after="80" w:before="80"/>
        <w:jc w:val="left"/>
      </w:pPr>
      <w:r>
        <w:rPr>
          <w:rFonts w:ascii="Arial" w:cs="Arial" w:eastAsia="Arial" w:hAnsi="Arial"/>
          <w:b w:val="false"/>
          <w:bCs w:val="false"/>
          <w:i w:val="false"/>
          <w:iCs w:val="false"/>
          <w:color w:val="1A1A1A"/>
          <w:sz w:val="22"/>
          <w:szCs w:val="22"/>
        </w:rPr>
        <w:t xml:space="preserve">Onboard 20–30 excellent coaches at no charge or heavily discounted rate before full commercial launch. These become advocates. Credibility in this channel compounds fast.</w:t>
      </w:r>
    </w:p>
    <w:p>
      <w:pPr>
        <w:spacing w:after="0" w:before="80"/>
      </w:pPr>
      <w:r>
        <w:t xml:space="preserve"/>
      </w:r>
    </w:p>
    <w:p>
      <w:pPr>
        <w:spacing w:after="40" w:before="200"/>
      </w:pPr>
      <w:r>
        <w:rPr>
          <w:rFonts w:ascii="Arial" w:cs="Arial" w:eastAsia="Arial" w:hAnsi="Arial"/>
          <w:b/>
          <w:bCs/>
          <w:caps/>
          <w:color w:val="888888"/>
          <w:sz w:val="20"/>
          <w:szCs w:val="20"/>
        </w:rPr>
        <w:t xml:space="preserve">Entry point</w:t>
      </w:r>
    </w:p>
    <w:p>
      <w:pPr>
        <w:spacing w:after="80" w:before="80"/>
        <w:jc w:val="left"/>
      </w:pPr>
      <w:r>
        <w:rPr>
          <w:rFonts w:ascii="Arial" w:cs="Arial" w:eastAsia="Arial" w:hAnsi="Arial"/>
          <w:b w:val="false"/>
          <w:bCs w:val="false"/>
          <w:i w:val="false"/>
          <w:iCs w:val="false"/>
          <w:color w:val="1A1A1A"/>
          <w:sz w:val="22"/>
          <w:szCs w:val="22"/>
        </w:rPr>
        <w:t xml:space="preserve">A 'share my profile' link in the result screen lets a coach view a client's result within a session. Build this early.</w:t>
      </w:r>
    </w:p>
    <w:p>
      <w:pPr>
        <w:spacing w:after="0" w:before="160"/>
      </w:pPr>
      <w:r>
        <w:t xml:space="preserve"/>
      </w:r>
    </w:p>
    <w:p>
      <w:pPr>
        <w:pageBreakBefore/>
      </w:pPr>
    </w:p>
    <w:p>
      <w:pPr>
        <w:pStyle w:val="Heading1"/>
      </w:pPr>
      <w:r>
        <w:rPr>
          <w:rFonts w:ascii="Arial" w:cs="Arial" w:eastAsia="Arial" w:hAnsi="Arial"/>
          <w:b/>
          <w:bCs/>
          <w:color w:val="1A1A1A"/>
          <w:sz w:val="36"/>
          <w:szCs w:val="36"/>
        </w:rPr>
        <w:t xml:space="preserve">Prospect Pilot — Paid Entry Point</w:t>
      </w:r>
    </w:p>
    <w:p>
      <w:pPr>
        <w:spacing w:after="80" w:before="80"/>
        <w:jc w:val="left"/>
      </w:pPr>
      <w:r>
        <w:rPr>
          <w:rFonts w:ascii="Arial" w:cs="Arial" w:eastAsia="Arial" w:hAnsi="Arial"/>
          <w:b w:val="false"/>
          <w:bCs w:val="false"/>
          <w:i w:val="false"/>
          <w:iCs w:val="false"/>
          <w:color w:val="1A1A1A"/>
          <w:sz w:val="22"/>
          <w:szCs w:val="22"/>
        </w:rPr>
        <w:t xml:space="preserve">A prospect who has experienced their own individual profile and seen a live Team Hue Demo dashboard is warm. But the moment that converts a sceptic is their own team going through the reveal together. That experience cannot be shown from the outside.</w:t>
      </w:r>
    </w:p>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A small paid pilot gets them inside that moment without requiring a full procurement decision. It is positioned as a structured, time-limited engagement — not a discount or a gift.</w:t>
      </w:r>
    </w:p>
    <w:p>
      <w:pPr>
        <w:spacing w:after="0" w:before="80"/>
      </w:pPr>
      <w:r>
        <w:t xml:space="preserve"/>
      </w:r>
    </w:p>
    <w:p>
      <w:pPr>
        <w:spacing w:after="40" w:before="200"/>
      </w:pPr>
      <w:r>
        <w:rPr>
          <w:rFonts w:ascii="Arial" w:cs="Arial" w:eastAsia="Arial" w:hAnsi="Arial"/>
          <w:b/>
          <w:bCs/>
          <w:caps/>
          <w:color w:val="888888"/>
          <w:sz w:val="20"/>
          <w:szCs w:val="20"/>
        </w:rPr>
        <w:t xml:space="preserve">Structure</w:t>
      </w:r>
    </w:p>
    <w:p>
      <w:pPr>
        <w:pStyle w:val="ListParagraph"/>
        <w:numPr>
          <w:ilvl w:val="0"/>
          <w:numId w:val="2"/>
        </w:numPr>
        <w:spacing w:after="40" w:before="40"/>
      </w:pPr>
      <w:r>
        <w:rPr>
          <w:rFonts w:ascii="Arial" w:cs="Arial" w:eastAsia="Arial" w:hAnsi="Arial"/>
          <w:color w:val="1A1A1A"/>
          <w:sz w:val="22"/>
          <w:szCs w:val="22"/>
        </w:rPr>
        <w:t xml:space="preserve">Up to 10 seats, 30 days.</w:t>
      </w:r>
    </w:p>
    <w:p>
      <w:pPr>
        <w:pStyle w:val="ListParagraph"/>
        <w:numPr>
          <w:ilvl w:val="0"/>
          <w:numId w:val="2"/>
        </w:numPr>
        <w:spacing w:after="40" w:before="40"/>
      </w:pPr>
      <w:r>
        <w:rPr>
          <w:rFonts w:ascii="Arial" w:cs="Arial" w:eastAsia="Arial" w:hAnsi="Arial"/>
          <w:color w:val="1A1A1A"/>
          <w:sz w:val="22"/>
          <w:szCs w:val="22"/>
        </w:rPr>
        <w:t xml:space="preserve">Flat fee of £200–300. Simple — not a per-seat-per-month calculation.</w:t>
      </w:r>
    </w:p>
    <w:p>
      <w:pPr>
        <w:pStyle w:val="ListParagraph"/>
        <w:numPr>
          <w:ilvl w:val="0"/>
          <w:numId w:val="2"/>
        </w:numPr>
        <w:spacing w:after="40" w:before="40"/>
      </w:pPr>
      <w:r>
        <w:rPr>
          <w:rFonts w:ascii="Arial" w:cs="Arial" w:eastAsia="Arial" w:hAnsi="Arial"/>
          <w:color w:val="1A1A1A"/>
          <w:sz w:val="22"/>
          <w:szCs w:val="22"/>
        </w:rPr>
        <w:t xml:space="preserve">Low enough to come from a discretionary budget without sign-off.</w:t>
      </w:r>
    </w:p>
    <w:p>
      <w:pPr>
        <w:pStyle w:val="ListParagraph"/>
        <w:numPr>
          <w:ilvl w:val="0"/>
          <w:numId w:val="2"/>
        </w:numPr>
        <w:spacing w:after="40" w:before="40"/>
      </w:pPr>
      <w:r>
        <w:rPr>
          <w:rFonts w:ascii="Arial" w:cs="Arial" w:eastAsia="Arial" w:hAnsi="Arial"/>
          <w:color w:val="1A1A1A"/>
          <w:sz w:val="22"/>
          <w:szCs w:val="22"/>
        </w:rPr>
        <w:t xml:space="preserve">Pilot fee credited against the first year contract on conversion.</w:t>
      </w:r>
    </w:p>
    <w:p>
      <w:pPr>
        <w:spacing w:after="0" w:before="80"/>
      </w:pPr>
      <w:r>
        <w:t xml:space="preserve"/>
      </w:r>
    </w:p>
    <w:p>
      <w:pPr>
        <w:spacing w:after="40" w:before="200"/>
      </w:pPr>
      <w:r>
        <w:rPr>
          <w:rFonts w:ascii="Arial" w:cs="Arial" w:eastAsia="Arial" w:hAnsi="Arial"/>
          <w:b/>
          <w:bCs/>
          <w:caps/>
          <w:color w:val="888888"/>
          <w:sz w:val="20"/>
          <w:szCs w:val="20"/>
        </w:rPr>
        <w:t xml:space="preserve">What the pilot contains</w:t>
      </w:r>
    </w:p>
    <w:p>
      <w:pPr>
        <w:pStyle w:val="ListParagraph"/>
        <w:numPr>
          <w:ilvl w:val="0"/>
          <w:numId w:val="2"/>
        </w:numPr>
        <w:spacing w:after="40" w:before="40"/>
      </w:pPr>
      <w:r>
        <w:rPr>
          <w:rFonts w:ascii="Arial" w:cs="Arial" w:eastAsia="Arial" w:hAnsi="Arial"/>
          <w:color w:val="1A1A1A"/>
          <w:sz w:val="22"/>
          <w:szCs w:val="22"/>
        </w:rPr>
        <w:t xml:space="preserve">Everyone completes their individual assessment — their profile is theirs permanently, regardless of what the organisation decides.</w:t>
      </w:r>
    </w:p>
    <w:p>
      <w:pPr>
        <w:pStyle w:val="ListParagraph"/>
        <w:numPr>
          <w:ilvl w:val="0"/>
          <w:numId w:val="2"/>
        </w:numPr>
        <w:spacing w:after="40" w:before="40"/>
      </w:pPr>
      <w:r>
        <w:rPr>
          <w:rFonts w:ascii="Arial" w:cs="Arial" w:eastAsia="Arial" w:hAnsi="Arial"/>
          <w:color w:val="1A1A1A"/>
          <w:sz w:val="22"/>
          <w:szCs w:val="22"/>
        </w:rPr>
        <w:t xml:space="preserve">The buyer watches the team constellation build in real time as profiles complete.</w:t>
      </w:r>
    </w:p>
    <w:p>
      <w:pPr>
        <w:pStyle w:val="ListParagraph"/>
        <w:numPr>
          <w:ilvl w:val="0"/>
          <w:numId w:val="2"/>
        </w:numPr>
        <w:spacing w:after="40" w:before="40"/>
      </w:pPr>
      <w:r>
        <w:rPr>
          <w:rFonts w:ascii="Arial" w:cs="Arial" w:eastAsia="Arial" w:hAnsi="Arial"/>
          <w:color w:val="1A1A1A"/>
          <w:sz w:val="22"/>
          <w:szCs w:val="22"/>
        </w:rPr>
        <w:t xml:space="preserve">At 30 days: a debrief conversation — you walk them through what the team picture shows.</w:t>
      </w:r>
    </w:p>
    <w:p>
      <w:pPr>
        <w:pStyle w:val="ListParagraph"/>
        <w:numPr>
          <w:ilvl w:val="0"/>
          <w:numId w:val="2"/>
        </w:numPr>
        <w:spacing w:after="40" w:before="40"/>
      </w:pPr>
      <w:r>
        <w:rPr>
          <w:rFonts w:ascii="Arial" w:cs="Arial" w:eastAsia="Arial" w:hAnsi="Arial"/>
          <w:color w:val="1A1A1A"/>
          <w:sz w:val="22"/>
          <w:szCs w:val="22"/>
        </w:rPr>
        <w:t xml:space="preserve">The debrief is the close. If the product has worked, the conversation is not 'will we buy this' — it is 'how many seats do we need.'</w:t>
      </w:r>
    </w:p>
    <w:p>
      <w:pPr>
        <w:spacing w:after="0" w:before="80"/>
      </w:pPr>
      <w:r>
        <w:t xml:space="preserve"/>
      </w:r>
    </w:p>
    <w:p>
      <w:pPr>
        <w:spacing w:after="40" w:before="200"/>
      </w:pPr>
      <w:r>
        <w:rPr>
          <w:rFonts w:ascii="Arial" w:cs="Arial" w:eastAsia="Arial" w:hAnsi="Arial"/>
          <w:b/>
          <w:bCs/>
          <w:caps/>
          <w:color w:val="888888"/>
          <w:sz w:val="20"/>
          <w:szCs w:val="20"/>
        </w:rPr>
        <w:t xml:space="preserve">Why paid matters</w:t>
      </w:r>
    </w:p>
    <w:p>
      <w:pPr>
        <w:spacing w:after="80" w:before="80"/>
        <w:jc w:val="left"/>
      </w:pPr>
      <w:r>
        <w:rPr>
          <w:rFonts w:ascii="Arial" w:cs="Arial" w:eastAsia="Arial" w:hAnsi="Arial"/>
          <w:b w:val="false"/>
          <w:bCs w:val="false"/>
          <w:i w:val="false"/>
          <w:iCs w:val="false"/>
          <w:color w:val="1A1A1A"/>
          <w:sz w:val="22"/>
          <w:szCs w:val="22"/>
        </w:rPr>
        <w:t xml:space="preserve">Paid means committed. A prospect who pays £200 for a pilot is not casually curious — they have skin in the game. The amount is low enough not to require budget approval but high enough to signal genuine intent. It also establishes from the outset that Hue has commercial value, which shapes how the team experience is received.</w:t>
      </w:r>
    </w:p>
    <w:p>
      <w:pPr>
        <w:spacing w:after="0" w:before="80"/>
      </w:pPr>
      <w:r>
        <w:t xml:space="preserve"/>
      </w:r>
    </w:p>
    <w:p>
      <w:pPr>
        <w:spacing w:after="40" w:before="200"/>
      </w:pPr>
      <w:r>
        <w:rPr>
          <w:rFonts w:ascii="Arial" w:cs="Arial" w:eastAsia="Arial" w:hAnsi="Arial"/>
          <w:b/>
          <w:bCs/>
          <w:caps/>
          <w:color w:val="888888"/>
          <w:sz w:val="20"/>
          <w:szCs w:val="20"/>
        </w:rPr>
        <w:t xml:space="preserve">Pilot vs Beta Partnership</w:t>
      </w:r>
    </w:p>
    <w:p>
      <w:pPr>
        <w:spacing w:after="80" w:before="80"/>
        <w:jc w:val="left"/>
      </w:pPr>
      <w:r>
        <w:rPr>
          <w:rFonts w:ascii="Arial" w:cs="Arial" w:eastAsia="Arial" w:hAnsi="Arial"/>
          <w:b w:val="false"/>
          <w:bCs w:val="false"/>
          <w:i w:val="false"/>
          <w:iCs w:val="false"/>
          <w:color w:val="1A1A1A"/>
          <w:sz w:val="22"/>
          <w:szCs w:val="22"/>
        </w:rPr>
        <w:t xml:space="preserve">The prospect pilot is distinct from the Beta Partnership model used for public sector and warm-outreach targets. Beta Partnerships waive the licence fee entirely in exchange for a named reference client, usage data, and a debrief. Prospect pilots are paid, shorter, and designed to convert undecided commercial buyers. Neither is offered as a matter of course — both are used where the relationship and timing call for them.</w:t>
      </w:r>
    </w:p>
    <w:p>
      <w:pPr>
        <w:spacing w:after="0" w:before="160"/>
      </w:pPr>
      <w:r>
        <w:t xml:space="preserve"/>
      </w:r>
    </w:p>
    <w:p>
      <w:pPr>
        <w:pStyle w:val="Heading1"/>
      </w:pPr>
      <w:r>
        <w:rPr>
          <w:rFonts w:ascii="Arial" w:cs="Arial" w:eastAsia="Arial" w:hAnsi="Arial"/>
          <w:b/>
          <w:bCs/>
          <w:color w:val="1A1A1A"/>
          <w:sz w:val="36"/>
          <w:szCs w:val="36"/>
        </w:rPr>
        <w:t xml:space="preserve">Sales Sequence for Prospects</w:t>
      </w:r>
    </w:p>
    <w:p>
      <w:pPr>
        <w:spacing w:after="80" w:before="80"/>
        <w:jc w:val="left"/>
      </w:pPr>
      <w:r>
        <w:rPr>
          <w:rFonts w:ascii="Arial" w:cs="Arial" w:eastAsia="Arial" w:hAnsi="Arial"/>
          <w:b w:val="false"/>
          <w:bCs w:val="false"/>
          <w:i w:val="false"/>
          <w:iCs w:val="false"/>
          <w:color w:val="1A1A1A"/>
          <w:sz w:val="22"/>
          <w:szCs w:val="22"/>
        </w:rPr>
        <w:t xml:space="preserve">Prospects do not join Team Hue. They would see aggregate data from others in the team, which is not appropriate. The correct sequence is:</w:t>
      </w:r>
    </w:p>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Prospect receives the individual beta link and completes their own assessment.</w:t>
      </w:r>
    </w:p>
    <w:p>
      <w:pPr>
        <w:pStyle w:val="ListParagraph"/>
        <w:numPr>
          <w:ilvl w:val="0"/>
          <w:numId w:val="2"/>
        </w:numPr>
        <w:spacing w:after="40" w:before="40"/>
      </w:pPr>
      <w:r>
        <w:rPr>
          <w:rFonts w:ascii="Arial" w:cs="Arial" w:eastAsia="Arial" w:hAnsi="Arial"/>
          <w:color w:val="1A1A1A"/>
          <w:sz w:val="22"/>
          <w:szCs w:val="22"/>
        </w:rPr>
        <w:t xml:space="preserve">You show them the Team Hue Demo dashboard in a direct conversation — you control what they see and when, and narrate what the data means.</w:t>
      </w:r>
    </w:p>
    <w:p>
      <w:pPr>
        <w:pStyle w:val="ListParagraph"/>
        <w:numPr>
          <w:ilvl w:val="0"/>
          <w:numId w:val="2"/>
        </w:numPr>
        <w:spacing w:after="40" w:before="40"/>
      </w:pPr>
      <w:r>
        <w:rPr>
          <w:rFonts w:ascii="Arial" w:cs="Arial" w:eastAsia="Arial" w:hAnsi="Arial"/>
          <w:color w:val="1A1A1A"/>
          <w:sz w:val="22"/>
          <w:szCs w:val="22"/>
        </w:rPr>
        <w:t xml:space="preserve">If there is genuine interest, move to a prospect pilot (paid, up to 10 seats, 30 days).</w:t>
      </w:r>
    </w:p>
    <w:p>
      <w:pPr>
        <w:pStyle w:val="ListParagraph"/>
        <w:numPr>
          <w:ilvl w:val="0"/>
          <w:numId w:val="2"/>
        </w:numPr>
        <w:spacing w:after="40" w:before="40"/>
      </w:pPr>
      <w:r>
        <w:rPr>
          <w:rFonts w:ascii="Arial" w:cs="Arial" w:eastAsia="Arial" w:hAnsi="Arial"/>
          <w:color w:val="1A1A1A"/>
          <w:sz w:val="22"/>
          <w:szCs w:val="22"/>
        </w:rPr>
        <w:t xml:space="preserve">Pilot concludes with a debrief. Convert to standard org pricing, with pilot fee credited.</w:t>
      </w:r>
    </w:p>
    <w:p>
      <w:pPr>
        <w:spacing w:after="0" w:before="80"/>
      </w:pPr>
      <w:r>
        <w:t xml:space="preserve"/>
      </w:r>
    </w:p>
    <w:p>
      <w:pPr>
        <w:spacing w:after="60" w:before="60"/>
      </w:pPr>
      <w:r>
        <w:rPr>
          <w:rFonts w:ascii="Arial" w:cs="Arial" w:eastAsia="Arial" w:hAnsi="Arial"/>
          <w:i/>
          <w:iCs/>
          <w:color w:val="888888"/>
          <w:sz w:val="20"/>
          <w:szCs w:val="20"/>
        </w:rPr>
        <w:t xml:space="preserve">The Team Hue Demo is a live, real-data asset generated by the inner circle team — psychologist, sales lead, UX/UI expert and others. It is used in sales conversations as a demonstration of what a real cross-functional team constellation looks like. The reveal gate applies — the buyer is never left to browse unsupervised.</w:t>
      </w:r>
    </w:p>
    <w:p>
      <w:pPr>
        <w:spacing w:after="0" w:before="160"/>
      </w:pPr>
      <w:r>
        <w:t xml:space="preserve"/>
      </w:r>
    </w:p>
    <w:p>
      <w:pPr>
        <w:pStyle w:val="Heading1"/>
      </w:pPr>
      <w:r>
        <w:rPr>
          <w:rFonts w:ascii="Arial" w:cs="Arial" w:eastAsia="Arial" w:hAnsi="Arial"/>
          <w:b/>
          <w:bCs/>
          <w:color w:val="1A1A1A"/>
          <w:sz w:val="36"/>
          <w:szCs w:val="36"/>
        </w:rPr>
        <w:t xml:space="preserve">Resellers and Practitioners</w:t>
      </w:r>
    </w:p>
    <w:p>
      <w:pPr>
        <w:spacing w:after="40" w:before="200"/>
      </w:pPr>
      <w:r>
        <w:rPr>
          <w:rFonts w:ascii="Arial" w:cs="Arial" w:eastAsia="Arial" w:hAnsi="Arial"/>
          <w:b/>
          <w:bCs/>
          <w:caps/>
          <w:color w:val="888888"/>
          <w:sz w:val="20"/>
          <w:szCs w:val="20"/>
        </w:rPr>
        <w:t xml:space="preserve">Named individuals — priority contacts</w:t>
      </w:r>
    </w:p>
    <w:p>
      <w:pPr>
        <w:spacing w:after="80" w:before="80"/>
        <w:jc w:val="left"/>
      </w:pPr>
      <w:r>
        <w:rPr>
          <w:rFonts w:ascii="Arial" w:cs="Arial" w:eastAsia="Arial" w:hAnsi="Arial"/>
          <w:b w:val="false"/>
          <w:bCs w:val="false"/>
          <w:i w:val="false"/>
          <w:iCs w:val="false"/>
          <w:color w:val="1A1A1A"/>
          <w:sz w:val="22"/>
          <w:szCs w:val="22"/>
        </w:rPr>
        <w:t xml:space="preserve">Alison and Angie — identified as C4D top sellers with existing practitioner networks. Priority for early facilitator tier onboarding. Approach with the practitioner pitch, not the org buyer pitch. Their value is advocacy and client referral, not direct org procurement.</w:t>
      </w:r>
    </w:p>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C4D top sellers — the broader community of Clarity4D practitioners represents a warm audience. They understand the four-colour framework, work with organisations that have already invested in colour-based development, and are looking for tools that offer ongoing value beyond the one-off workshop. Approach via the facilitator tier. Never reference C4D by name in any pitch material — position Hue on its own merits.</w:t>
      </w:r>
    </w:p>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Approach strategy: these relationships are built through personal connection, not cold outreach. Simon's existing network is the entry point. Offer early facilitated access, involvement in shaping the product, and ongoing commission for referrals.</w:t>
      </w:r>
    </w:p>
    <w:p>
      <w:pPr>
        <w:spacing w:after="0" w:before="160"/>
      </w:pPr>
      <w:r>
        <w:t xml:space="preserve"/>
      </w:r>
    </w:p>
    <w:p>
      <w:pPr>
        <w:pStyle w:val="Heading1"/>
      </w:pPr>
      <w:r>
        <w:rPr>
          <w:rFonts w:ascii="Arial" w:cs="Arial" w:eastAsia="Arial" w:hAnsi="Arial"/>
          <w:b/>
          <w:bCs/>
          <w:color w:val="1A1A1A"/>
          <w:sz w:val="36"/>
          <w:szCs w:val="36"/>
        </w:rPr>
        <w:t xml:space="preserve">Target Organisations — Year 1</w:t>
      </w:r>
    </w:p>
    <w:p>
      <w:pPr>
        <w:spacing w:after="80" w:before="80"/>
        <w:jc w:val="left"/>
      </w:pPr>
      <w:r>
        <w:rPr>
          <w:rFonts w:ascii="Arial" w:cs="Arial" w:eastAsia="Arial" w:hAnsi="Arial"/>
          <w:b w:val="false"/>
          <w:bCs w:val="false"/>
          <w:i w:val="false"/>
          <w:iCs w:val="false"/>
          <w:color w:val="1A1A1A"/>
          <w:sz w:val="22"/>
          <w:szCs w:val="22"/>
        </w:rPr>
        <w:t xml:space="preserve">Priority targets for direct B2B outreach. These are organisations with existing relationships, procurement appetite, or structural need for team development tools.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c>
          <w:tcPr>
            <w:tcW w:type="dxa" w:w="2891"/>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Organisation</w:t>
            </w:r>
          </w:p>
        </w:tc>
        <w:tc>
          <w:tcPr>
            <w:tcW w:type="dxa" w:w="6747"/>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Notes</w:t>
            </w:r>
          </w:p>
        </w:tc>
      </w:tr>
      <w:tr>
        <w:tc>
          <w:tcPr>
            <w:tcW w:type="dxa" w:w="289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Northampton</w:t>
            </w:r>
          </w:p>
        </w:tc>
        <w:tc>
          <w:tcPr>
            <w:tcW w:type="dxa" w:w="6747"/>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Existing relationship — warm outreach</w:t>
            </w:r>
          </w:p>
        </w:tc>
      </w:tr>
      <w:tr>
        <w:tc>
          <w:tcPr>
            <w:tcW w:type="dxa" w:w="289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WPH</w:t>
            </w:r>
          </w:p>
        </w:tc>
        <w:tc>
          <w:tcPr>
            <w:tcW w:type="dxa" w:w="6747"/>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Existing relationship</w:t>
            </w:r>
          </w:p>
        </w:tc>
      </w:tr>
      <w:tr>
        <w:tc>
          <w:tcPr>
            <w:tcW w:type="dxa" w:w="289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PPH</w:t>
            </w:r>
          </w:p>
        </w:tc>
        <w:tc>
          <w:tcPr>
            <w:tcW w:type="dxa" w:w="6747"/>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Existing relationship</w:t>
            </w:r>
          </w:p>
        </w:tc>
      </w:tr>
      <w:tr>
        <w:tc>
          <w:tcPr>
            <w:tcW w:type="dxa" w:w="289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Bespak</w:t>
            </w:r>
          </w:p>
        </w:tc>
        <w:tc>
          <w:tcPr>
            <w:tcW w:type="dxa" w:w="6747"/>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Existing relationship</w:t>
            </w:r>
          </w:p>
        </w:tc>
      </w:tr>
      <w:tr>
        <w:tc>
          <w:tcPr>
            <w:tcW w:type="dxa" w:w="289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Carers</w:t>
            </w:r>
          </w:p>
        </w:tc>
        <w:tc>
          <w:tcPr>
            <w:tcW w:type="dxa" w:w="6747"/>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Existing relationship — likely not-for-profit pricing</w:t>
            </w:r>
          </w:p>
        </w:tc>
      </w:tr>
      <w:tr>
        <w:tc>
          <w:tcPr>
            <w:tcW w:type="dxa" w:w="289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FF</w:t>
            </w:r>
          </w:p>
        </w:tc>
        <w:tc>
          <w:tcPr>
            <w:tcW w:type="dxa" w:w="6747"/>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Existing relationship</w:t>
            </w:r>
          </w:p>
        </w:tc>
      </w:tr>
      <w:tr>
        <w:tc>
          <w:tcPr>
            <w:tcW w:type="dxa" w:w="289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University of Warwick</w:t>
            </w:r>
          </w:p>
        </w:tc>
        <w:tc>
          <w:tcPr>
            <w:tcW w:type="dxa" w:w="6747"/>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Higher education — consider academic pricing; strong referral potential</w:t>
            </w:r>
          </w:p>
        </w:tc>
      </w:tr>
    </w:tbl>
    <w:p>
      <w:pPr>
        <w:spacing w:after="0" w:before="80"/>
      </w:pPr>
      <w:r>
        <w:t xml:space="preserve"/>
      </w:r>
    </w:p>
    <w:p>
      <w:pPr>
        <w:spacing w:after="60" w:before="60"/>
      </w:pPr>
      <w:r>
        <w:rPr>
          <w:rFonts w:ascii="Arial" w:cs="Arial" w:eastAsia="Arial" w:hAnsi="Arial"/>
          <w:i/>
          <w:iCs/>
          <w:color w:val="888888"/>
          <w:sz w:val="20"/>
          <w:szCs w:val="20"/>
        </w:rPr>
        <w:t xml:space="preserve">Not-for-profit/charity rate: £6/seat/month. Applied in conversation, never advertised. University sector: treat as standard org pricing unless a research or wellbeing programme angle applies.</w:t>
      </w:r>
    </w:p>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Beta partnership framing: for targets where full commercial terms feel premature, offer a structured Beta Partnership — waived licence fee for a defined cohort (20–50 people), in exchange for a named reference client, real usage data, and a 30-minute debrief call. Never call it 'free' internally. It is a waived licence fee during a defined Beta Partnership phase.</w:t>
      </w:r>
    </w:p>
    <w:p>
      <w:pPr>
        <w:spacing w:after="0" w:before="160"/>
      </w:pPr>
      <w:r>
        <w:t xml:space="preserve"/>
      </w:r>
    </w:p>
    <w:p>
      <w:pPr>
        <w:pStyle w:val="Heading1"/>
      </w:pPr>
      <w:r>
        <w:rPr>
          <w:rFonts w:ascii="Arial" w:cs="Arial" w:eastAsia="Arial" w:hAnsi="Arial"/>
          <w:b/>
          <w:bCs/>
          <w:color w:val="1A1A1A"/>
          <w:sz w:val="36"/>
          <w:szCs w:val="36"/>
        </w:rPr>
        <w:t xml:space="preserve">Training Company Partner Model</w:t>
      </w:r>
    </w:p>
    <w:p>
      <w:pPr>
        <w:spacing w:after="80" w:before="80"/>
        <w:jc w:val="left"/>
      </w:pPr>
      <w:r>
        <w:rPr>
          <w:rFonts w:ascii="Arial" w:cs="Arial" w:eastAsia="Arial" w:hAnsi="Arial"/>
          <w:b w:val="false"/>
          <w:bCs w:val="false"/>
          <w:i w:val="false"/>
          <w:iCs w:val="false"/>
          <w:color w:val="1A1A1A"/>
          <w:sz w:val="22"/>
          <w:szCs w:val="22"/>
        </w:rPr>
        <w:t xml:space="preserve">A CCS-listed training company gives Hue immediate access to public sector procurement without the admin overhead of a separate CCS listing. They bring existing L&amp;D relationships where team development spend is already allocated.</w:t>
      </w:r>
    </w:p>
    <w:p>
      <w:pPr>
        <w:spacing w:after="0" w:before="80"/>
      </w:pPr>
      <w:r>
        <w:t xml:space="preserve"/>
      </w:r>
    </w:p>
    <w:p>
      <w:pPr>
        <w:spacing w:after="40" w:before="200"/>
      </w:pPr>
      <w:r>
        <w:rPr>
          <w:rFonts w:ascii="Arial" w:cs="Arial" w:eastAsia="Arial" w:hAnsi="Arial"/>
          <w:b/>
          <w:bCs/>
          <w:caps/>
          <w:color w:val="888888"/>
          <w:sz w:val="20"/>
          <w:szCs w:val="20"/>
        </w:rPr>
        <w:t xml:space="preserve">Decided commercial terms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c>
          <w:tcPr>
            <w:tcW w:type="dxa" w:w="3855"/>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Term</w:t>
            </w:r>
          </w:p>
        </w:tc>
        <w:tc>
          <w:tcPr>
            <w:tcW w:type="dxa" w:w="5783"/>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Decision</w:t>
            </w:r>
          </w:p>
        </w:tc>
      </w:tr>
      <w:tr>
        <w:tc>
          <w:tcPr>
            <w:tcW w:type="dxa" w:w="385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Revenue share</w:t>
            </w:r>
          </w:p>
        </w:tc>
        <w:tc>
          <w:tcPr>
            <w:tcW w:type="dxa" w:w="578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Flat 20% of licence value, ongoing</w:t>
            </w:r>
          </w:p>
        </w:tc>
      </w:tr>
      <w:tr>
        <w:tc>
          <w:tcPr>
            <w:tcW w:type="dxa" w:w="385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Partner seat pricing</w:t>
            </w:r>
          </w:p>
        </w:tc>
        <w:tc>
          <w:tcPr>
            <w:tcW w:type="dxa" w:w="578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£5/seat/month (vs standard £8)</w:t>
            </w:r>
          </w:p>
        </w:tc>
      </w:tr>
      <w:tr>
        <w:tc>
          <w:tcPr>
            <w:tcW w:type="dxa" w:w="385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White-labelling</w:t>
            </w:r>
          </w:p>
        </w:tc>
        <w:tc>
          <w:tcPr>
            <w:tcW w:type="dxa" w:w="578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Not now. Co-branding available. Revisit at scale.</w:t>
            </w:r>
          </w:p>
        </w:tc>
      </w:tr>
      <w:tr>
        <w:tc>
          <w:tcPr>
            <w:tcW w:type="dxa" w:w="385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Exclusivity</w:t>
            </w:r>
          </w:p>
        </w:tc>
        <w:tc>
          <w:tcPr>
            <w:tcW w:type="dxa" w:w="578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Never granted under any circumstances. Preferred partner status only.</w:t>
            </w:r>
          </w:p>
        </w:tc>
      </w:tr>
    </w:tbl>
    <w:p>
      <w:pPr>
        <w:spacing w:after="0" w:before="80"/>
      </w:pPr>
      <w:r>
        <w:t xml:space="preserve"/>
      </w:r>
    </w:p>
    <w:p>
      <w:pPr>
        <w:spacing w:after="40" w:before="200"/>
      </w:pPr>
      <w:r>
        <w:rPr>
          <w:rFonts w:ascii="Arial" w:cs="Arial" w:eastAsia="Arial" w:hAnsi="Arial"/>
          <w:b/>
          <w:bCs/>
          <w:caps/>
          <w:color w:val="888888"/>
          <w:sz w:val="20"/>
          <w:szCs w:val="20"/>
        </w:rPr>
        <w:t xml:space="preserve">Two delivery models</w:t>
      </w:r>
    </w:p>
    <w:p>
      <w:pPr>
        <w:spacing w:after="80" w:before="80"/>
        <w:jc w:val="left"/>
      </w:pPr>
      <w:r>
        <w:rPr>
          <w:rFonts w:ascii="Arial" w:cs="Arial" w:eastAsia="Arial" w:hAnsi="Arial"/>
          <w:b w:val="false"/>
          <w:bCs w:val="false"/>
          <w:i w:val="false"/>
          <w:iCs w:val="false"/>
          <w:color w:val="1A1A1A"/>
          <w:sz w:val="22"/>
          <w:szCs w:val="22"/>
        </w:rPr>
        <w:t xml:space="preserve">Model A — Referral/Reseller: Partner introduces Hue to clients and earns 20% of licence value. Minimal delivery involvement beyond introduction and optional onboarding session.</w:t>
      </w:r>
    </w:p>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Model B — Integrated Delivery: Partner wraps Hue into their workshop and programme design. They charge their normal day rate for facilitation. Hue is priced at £5/seat/month partner rate. Post-workshop, clients stay on Hue as a subscription and the partner earns 20% ongoing.</w:t>
      </w:r>
    </w:p>
    <w:p>
      <w:pPr>
        <w:spacing w:after="0" w:before="160"/>
      </w:pPr>
      <w:r>
        <w:t xml:space="preserve"/>
      </w:r>
    </w:p>
    <w:p>
      <w:pPr>
        <w:pStyle w:val="Heading1"/>
      </w:pPr>
      <w:r>
        <w:rPr>
          <w:rFonts w:ascii="Arial" w:cs="Arial" w:eastAsia="Arial" w:hAnsi="Arial"/>
          <w:b/>
          <w:bCs/>
          <w:color w:val="1A1A1A"/>
          <w:sz w:val="36"/>
          <w:szCs w:val="36"/>
        </w:rPr>
        <w:t xml:space="preserve">Public Sector Procurement</w:t>
      </w:r>
    </w:p>
    <w:p>
      <w:pPr>
        <w:spacing w:after="80" w:before="80"/>
        <w:jc w:val="left"/>
      </w:pPr>
      <w:r>
        <w:rPr>
          <w:rFonts w:ascii="Arial" w:cs="Arial" w:eastAsia="Arial" w:hAnsi="Arial"/>
          <w:b w:val="false"/>
          <w:bCs w:val="false"/>
          <w:i w:val="false"/>
          <w:iCs w:val="false"/>
          <w:color w:val="1A1A1A"/>
          <w:sz w:val="22"/>
          <w:szCs w:val="22"/>
        </w:rPr>
        <w:t xml:space="preserve">Beta framing: never offer a low price — offer a structured Beta Partnership with a waived licence fee. Never call it free internally or in conversation.</w:t>
      </w:r>
    </w:p>
    <w:p>
      <w:pPr>
        <w:spacing w:after="0" w:before="80"/>
      </w:pPr>
      <w:r>
        <w:t xml:space="preserve"/>
      </w:r>
    </w:p>
    <w:p>
      <w:pPr>
        <w:spacing w:after="40" w:before="200"/>
      </w:pPr>
      <w:r>
        <w:rPr>
          <w:rFonts w:ascii="Arial" w:cs="Arial" w:eastAsia="Arial" w:hAnsi="Arial"/>
          <w:b/>
          <w:bCs/>
          <w:caps/>
          <w:color w:val="888888"/>
          <w:sz w:val="20"/>
          <w:szCs w:val="20"/>
        </w:rPr>
        <w:t xml:space="preserve">What a Beta Partnership includes</w:t>
      </w:r>
    </w:p>
    <w:p>
      <w:pPr>
        <w:spacing w:after="80" w:before="80"/>
        <w:jc w:val="left"/>
      </w:pPr>
      <w:r>
        <w:rPr>
          <w:rFonts w:ascii="Arial" w:cs="Arial" w:eastAsia="Arial" w:hAnsi="Arial"/>
          <w:b w:val="false"/>
          <w:bCs w:val="false"/>
          <w:i w:val="false"/>
          <w:iCs w:val="false"/>
          <w:color w:val="1A1A1A"/>
          <w:sz w:val="22"/>
          <w:szCs w:val="22"/>
        </w:rPr>
        <w:t xml:space="preserve">They get: full platform access for a defined cohort (20–50 people), direct input into product development, first-mover pricing locked in on conversion to paid (£6/seat/month vs standard £8).</w:t>
      </w:r>
    </w:p>
    <w:p>
      <w:pPr>
        <w:spacing w:after="80" w:before="80"/>
        <w:jc w:val="left"/>
      </w:pPr>
      <w:r>
        <w:rPr>
          <w:rFonts w:ascii="Arial" w:cs="Arial" w:eastAsia="Arial" w:hAnsi="Arial"/>
          <w:b w:val="false"/>
          <w:bCs w:val="false"/>
          <w:i w:val="false"/>
          <w:iCs w:val="false"/>
          <w:color w:val="1A1A1A"/>
          <w:sz w:val="22"/>
          <w:szCs w:val="22"/>
        </w:rPr>
        <w:t xml:space="preserve">Hue gets: a named public sector reference client, real usage data, a case study with a named quote from someone senior, and a 30-minute debrief call at 6 weeks.</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73"/>
        <w:gridCol w:w="2410"/>
        <w:gridCol w:w="3855"/>
      </w:tblGrid>
      <w:tr>
        <w:tc>
          <w:tcPr>
            <w:tcW w:type="dxa" w:w="3373"/>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Sector</w:t>
            </w:r>
          </w:p>
        </w:tc>
        <w:tc>
          <w:tcPr>
            <w:tcW w:type="dxa" w:w="2410"/>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Price</w:t>
            </w:r>
          </w:p>
        </w:tc>
        <w:tc>
          <w:tcPr>
            <w:tcW w:type="dxa" w:w="3855"/>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Notes</w:t>
            </w:r>
          </w:p>
        </w:tc>
      </w:tr>
      <w:tr>
        <w:tc>
          <w:tcPr>
            <w:tcW w:type="dxa" w:w="337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Private sector</w:t>
            </w:r>
          </w:p>
        </w:tc>
        <w:tc>
          <w:tcPr>
            <w:tcW w:type="dxa" w:w="241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£8/seat/month</w:t>
            </w:r>
          </w:p>
        </w:tc>
        <w:tc>
          <w:tcPr>
            <w:tcW w:type="dxa" w:w="385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Standard rate</w:t>
            </w:r>
          </w:p>
        </w:tc>
      </w:tr>
      <w:tr>
        <w:tc>
          <w:tcPr>
            <w:tcW w:type="dxa" w:w="337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Not-for-profit / charity</w:t>
            </w:r>
          </w:p>
        </w:tc>
        <w:tc>
          <w:tcPr>
            <w:tcW w:type="dxa" w:w="241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£6/seat/month</w:t>
            </w:r>
          </w:p>
        </w:tc>
        <w:tc>
          <w:tcPr>
            <w:tcW w:type="dxa" w:w="385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25% discount — in conversation only, not advertised</w:t>
            </w:r>
          </w:p>
        </w:tc>
      </w:tr>
      <w:tr>
        <w:tc>
          <w:tcPr>
            <w:tcW w:type="dxa" w:w="3373"/>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Public sector</w:t>
            </w:r>
          </w:p>
        </w:tc>
        <w:tc>
          <w:tcPr>
            <w:tcW w:type="dxa" w:w="2410"/>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£8 standard, £6 on conversion from beta</w:t>
            </w:r>
          </w:p>
        </w:tc>
        <w:tc>
          <w:tcPr>
            <w:tcW w:type="dxa" w:w="385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CCS framework route preferred</w:t>
            </w:r>
          </w:p>
        </w:tc>
      </w:tr>
    </w:tbl>
    <w:p>
      <w:pPr>
        <w:spacing w:after="0" w:before="80"/>
      </w:pPr>
      <w:r>
        <w:t xml:space="preserve"/>
      </w:r>
    </w:p>
    <w:p>
      <w:pPr>
        <w:spacing w:after="60" w:before="60"/>
      </w:pPr>
      <w:r>
        <w:rPr>
          <w:rFonts w:ascii="Arial" w:cs="Arial" w:eastAsia="Arial" w:hAnsi="Arial"/>
          <w:i/>
          <w:iCs/>
          <w:color w:val="888888"/>
          <w:sz w:val="20"/>
          <w:szCs w:val="20"/>
        </w:rPr>
        <w:t xml:space="preserve">CCS listing: pursue own CCS listing in Phase 2 alongside the training partner route.</w:t>
      </w:r>
    </w:p>
    <w:p>
      <w:pPr>
        <w:spacing w:after="0" w:before="160"/>
      </w:pPr>
      <w:r>
        <w:t xml:space="preserve"/>
      </w:r>
    </w:p>
    <w:p>
      <w:pPr>
        <w:pStyle w:val="Heading1"/>
      </w:pPr>
      <w:r>
        <w:rPr>
          <w:rFonts w:ascii="Arial" w:cs="Arial" w:eastAsia="Arial" w:hAnsi="Arial"/>
          <w:b/>
          <w:bCs/>
          <w:color w:val="1A1A1A"/>
          <w:sz w:val="36"/>
          <w:szCs w:val="36"/>
        </w:rPr>
        <w:t xml:space="preserve">Individual Continuity — Changing Organisations</w:t>
      </w:r>
    </w:p>
    <w:p>
      <w:pPr>
        <w:spacing w:after="80" w:before="80"/>
        <w:jc w:val="left"/>
      </w:pPr>
      <w:r>
        <w:rPr>
          <w:rFonts w:ascii="Arial" w:cs="Arial" w:eastAsia="Arial" w:hAnsi="Arial"/>
          <w:b w:val="false"/>
          <w:bCs w:val="false"/>
          <w:i w:val="false"/>
          <w:iCs w:val="false"/>
          <w:color w:val="1A1A1A"/>
          <w:sz w:val="22"/>
          <w:szCs w:val="22"/>
        </w:rPr>
        <w:t xml:space="preserve">The profile belongs to the individual. The transition moment must honour that or it breaks the core promise.</w:t>
      </w:r>
    </w:p>
    <w:p>
      <w:pPr>
        <w:spacing w:after="0" w:before="80"/>
      </w:pPr>
      <w:r>
        <w:t xml:space="preserve"/>
      </w:r>
    </w:p>
    <w:p>
      <w:pPr>
        <w:spacing w:after="40" w:before="200"/>
      </w:pPr>
      <w:r>
        <w:rPr>
          <w:rFonts w:ascii="Arial" w:cs="Arial" w:eastAsia="Arial" w:hAnsi="Arial"/>
          <w:b/>
          <w:bCs/>
          <w:caps/>
          <w:color w:val="888888"/>
          <w:sz w:val="20"/>
          <w:szCs w:val="20"/>
        </w:rPr>
        <w:t xml:space="preserve">When they leave</w:t>
      </w:r>
    </w:p>
    <w:p>
      <w:pPr>
        <w:spacing w:after="80" w:before="80"/>
        <w:jc w:val="left"/>
      </w:pPr>
      <w:r>
        <w:rPr>
          <w:rFonts w:ascii="Arial" w:cs="Arial" w:eastAsia="Arial" w:hAnsi="Arial"/>
          <w:b w:val="false"/>
          <w:bCs w:val="false"/>
          <w:i w:val="false"/>
          <w:iCs w:val="false"/>
          <w:color w:val="1A1A1A"/>
          <w:sz w:val="22"/>
          <w:szCs w:val="22"/>
        </w:rPr>
        <w:t xml:space="preserve">An automated email is triggered when the org licence lapses: "Your Hue profile is yours — it always has been. Your employer's licence has ended, but your profile, your results, and your history are still here. Continue with a personal subscription to keep your companion active."</w:t>
      </w:r>
    </w:p>
    <w:p>
      <w:pPr>
        <w:spacing w:after="0" w:before="80"/>
      </w:pPr>
      <w:r>
        <w:t xml:space="preserve"/>
      </w:r>
    </w:p>
    <w:p>
      <w:pPr>
        <w:spacing w:after="40" w:before="200"/>
      </w:pPr>
      <w:r>
        <w:rPr>
          <w:rFonts w:ascii="Arial" w:cs="Arial" w:eastAsia="Arial" w:hAnsi="Arial"/>
          <w:b/>
          <w:bCs/>
          <w:caps/>
          <w:color w:val="888888"/>
          <w:sz w:val="20"/>
          <w:szCs w:val="20"/>
        </w:rPr>
        <w:t xml:space="preserve">Grace period</w:t>
      </w:r>
    </w:p>
    <w:p>
      <w:pPr>
        <w:spacing w:after="80" w:before="80"/>
        <w:jc w:val="left"/>
      </w:pPr>
      <w:r>
        <w:rPr>
          <w:rFonts w:ascii="Arial" w:cs="Arial" w:eastAsia="Arial" w:hAnsi="Arial"/>
          <w:b w:val="false"/>
          <w:bCs w:val="false"/>
          <w:i w:val="false"/>
          <w:iCs w:val="false"/>
          <w:color w:val="1A1A1A"/>
          <w:sz w:val="22"/>
          <w:szCs w:val="22"/>
        </w:rPr>
        <w:t xml:space="preserve">30 days free access after org licence ends before subscription prompt.</w:t>
      </w:r>
    </w:p>
    <w:p>
      <w:pPr>
        <w:spacing w:after="0" w:before="80"/>
      </w:pPr>
      <w:r>
        <w:t xml:space="preserve"/>
      </w:r>
    </w:p>
    <w:p>
      <w:pPr>
        <w:spacing w:after="40" w:before="200"/>
      </w:pPr>
      <w:r>
        <w:rPr>
          <w:rFonts w:ascii="Arial" w:cs="Arial" w:eastAsia="Arial" w:hAnsi="Arial"/>
          <w:b/>
          <w:bCs/>
          <w:caps/>
          <w:color w:val="888888"/>
          <w:sz w:val="20"/>
          <w:szCs w:val="20"/>
        </w:rPr>
        <w:t xml:space="preserve">Critical data model point</w:t>
      </w:r>
    </w:p>
    <w:p>
      <w:pPr>
        <w:spacing w:after="80" w:before="80"/>
        <w:jc w:val="left"/>
      </w:pPr>
      <w:r>
        <w:rPr>
          <w:rFonts w:ascii="Arial" w:cs="Arial" w:eastAsia="Arial" w:hAnsi="Arial"/>
          <w:b w:val="false"/>
          <w:bCs w:val="false"/>
          <w:i w:val="false"/>
          <w:iCs w:val="false"/>
          <w:color w:val="1A1A1A"/>
          <w:sz w:val="22"/>
          <w:szCs w:val="22"/>
        </w:rPr>
        <w:t xml:space="preserve">Capture personal email at account creation, not just work email. Frame the ask honestly: "So your profile stays with you if you ever change jobs."</w:t>
      </w:r>
    </w:p>
    <w:p>
      <w:pPr>
        <w:spacing w:after="0" w:before="160"/>
      </w:pPr>
      <w:r>
        <w:t xml:space="preserve"/>
      </w:r>
    </w:p>
    <w:p>
      <w:pPr>
        <w:pStyle w:val="Heading1"/>
      </w:pPr>
      <w:r>
        <w:rPr>
          <w:rFonts w:ascii="Arial" w:cs="Arial" w:eastAsia="Arial" w:hAnsi="Arial"/>
          <w:b/>
          <w:bCs/>
          <w:color w:val="1A1A1A"/>
          <w:sz w:val="36"/>
          <w:szCs w:val="36"/>
        </w:rPr>
        <w:t xml:space="preserve">Subscription Retention Mechanics</w:t>
      </w:r>
    </w:p>
    <w:p>
      <w:pPr>
        <w:pStyle w:val="Heading2"/>
      </w:pPr>
      <w:r>
        <w:rPr>
          <w:rFonts w:ascii="Arial" w:cs="Arial" w:eastAsia="Arial" w:hAnsi="Arial"/>
          <w:b/>
          <w:bCs/>
          <w:color w:val="1A1A1A"/>
          <w:sz w:val="26"/>
          <w:szCs w:val="26"/>
        </w:rPr>
        <w:t xml:space="preserve">Individual retention</w:t>
      </w:r>
    </w:p>
    <w:p>
      <w:pPr>
        <w:spacing w:after="40" w:before="200"/>
      </w:pPr>
      <w:r>
        <w:rPr>
          <w:rFonts w:ascii="Arial" w:cs="Arial" w:eastAsia="Arial" w:hAnsi="Arial"/>
          <w:b/>
          <w:bCs/>
          <w:caps/>
          <w:color w:val="888888"/>
          <w:sz w:val="20"/>
          <w:szCs w:val="20"/>
        </w:rPr>
        <w:t xml:space="preserve">Companion as mirror over time</w:t>
      </w:r>
    </w:p>
    <w:p>
      <w:pPr>
        <w:spacing w:after="80" w:before="80"/>
        <w:jc w:val="left"/>
      </w:pPr>
      <w:r>
        <w:rPr>
          <w:rFonts w:ascii="Arial" w:cs="Arial" w:eastAsia="Arial" w:hAnsi="Arial"/>
          <w:b w:val="false"/>
          <w:bCs w:val="false"/>
          <w:i w:val="false"/>
          <w:iCs w:val="false"/>
          <w:color w:val="1A1A1A"/>
          <w:sz w:val="22"/>
          <w:szCs w:val="22"/>
        </w:rPr>
        <w:t xml:space="preserve">Accumulates specific context across months. At 6 months, Hue surfaces patterns nobody else can surface. The subscription sells the accumulation of a relationship that becomes more irreplaceable over time.</w:t>
      </w:r>
    </w:p>
    <w:p>
      <w:pPr>
        <w:spacing w:after="0" w:before="80"/>
      </w:pPr>
      <w:r>
        <w:t xml:space="preserve"/>
      </w:r>
    </w:p>
    <w:p>
      <w:pPr>
        <w:spacing w:after="40" w:before="200"/>
      </w:pPr>
      <w:r>
        <w:rPr>
          <w:rFonts w:ascii="Arial" w:cs="Arial" w:eastAsia="Arial" w:hAnsi="Arial"/>
          <w:b/>
          <w:bCs/>
          <w:caps/>
          <w:color w:val="888888"/>
          <w:sz w:val="20"/>
          <w:szCs w:val="20"/>
        </w:rPr>
        <w:t xml:space="preserve">Flex challenge loop</w:t>
      </w:r>
    </w:p>
    <w:p>
      <w:pPr>
        <w:spacing w:after="80" w:before="80"/>
        <w:jc w:val="left"/>
      </w:pPr>
      <w:r>
        <w:rPr>
          <w:rFonts w:ascii="Arial" w:cs="Arial" w:eastAsia="Arial" w:hAnsi="Arial"/>
          <w:b w:val="false"/>
          <w:bCs w:val="false"/>
          <w:i w:val="false"/>
          <w:iCs w:val="false"/>
          <w:color w:val="1A1A1A"/>
          <w:sz w:val="22"/>
          <w:szCs w:val="22"/>
        </w:rPr>
        <w:t xml:space="preserve">Hue proposes a specific flex challenge based on something real the user described. The follow-up ('How did Thursday go?') is the hook. Creates a reason to return that feels human, not algorithmic.</w:t>
      </w:r>
    </w:p>
    <w:p>
      <w:pPr>
        <w:spacing w:after="0" w:before="80"/>
      </w:pPr>
      <w:r>
        <w:t xml:space="preserve"/>
      </w:r>
    </w:p>
    <w:p>
      <w:pPr>
        <w:spacing w:after="40" w:before="200"/>
      </w:pPr>
      <w:r>
        <w:rPr>
          <w:rFonts w:ascii="Arial" w:cs="Arial" w:eastAsia="Arial" w:hAnsi="Arial"/>
          <w:b/>
          <w:bCs/>
          <w:caps/>
          <w:color w:val="888888"/>
          <w:sz w:val="20"/>
          <w:szCs w:val="20"/>
        </w:rPr>
        <w:t xml:space="preserve">Longitudinal reveal</w:t>
      </w:r>
    </w:p>
    <w:p>
      <w:pPr>
        <w:spacing w:after="80" w:before="80"/>
        <w:jc w:val="left"/>
      </w:pPr>
      <w:r>
        <w:rPr>
          <w:rFonts w:ascii="Arial" w:cs="Arial" w:eastAsia="Arial" w:hAnsi="Arial"/>
          <w:b w:val="false"/>
          <w:bCs w:val="false"/>
          <w:i w:val="false"/>
          <w:iCs w:val="false"/>
          <w:color w:val="1A1A1A"/>
          <w:sz w:val="22"/>
          <w:szCs w:val="22"/>
        </w:rPr>
        <w:t xml:space="preserve">At 3, 6, 12 months Hue surfaces patterns only visible because the user stayed. The reward for staying is insight that wasn't available before.</w:t>
      </w:r>
    </w:p>
    <w:p>
      <w:pPr>
        <w:spacing w:after="0" w:before="80"/>
      </w:pPr>
      <w:r>
        <w:t xml:space="preserve"/>
      </w:r>
    </w:p>
    <w:p>
      <w:pPr>
        <w:spacing w:after="40" w:before="200"/>
      </w:pPr>
      <w:r>
        <w:rPr>
          <w:rFonts w:ascii="Arial" w:cs="Arial" w:eastAsia="Arial" w:hAnsi="Arial"/>
          <w:b/>
          <w:bCs/>
          <w:caps/>
          <w:color w:val="888888"/>
          <w:sz w:val="20"/>
          <w:szCs w:val="20"/>
        </w:rPr>
        <w:t xml:space="preserve">Energy check-in</w:t>
      </w:r>
    </w:p>
    <w:p>
      <w:pPr>
        <w:spacing w:after="80" w:before="80"/>
        <w:jc w:val="left"/>
      </w:pPr>
      <w:r>
        <w:rPr>
          <w:rFonts w:ascii="Arial" w:cs="Arial" w:eastAsia="Arial" w:hAnsi="Arial"/>
          <w:b w:val="false"/>
          <w:bCs w:val="false"/>
          <w:i w:val="false"/>
          <w:iCs w:val="false"/>
          <w:color w:val="1A1A1A"/>
          <w:sz w:val="22"/>
          <w:szCs w:val="22"/>
        </w:rPr>
        <w:t xml:space="preserve">Lightweight weekly prompt — 'How are you showing up this week?' Builds a personal energy diary Hue reflects back over time.</w:t>
      </w:r>
    </w:p>
    <w:p>
      <w:pPr>
        <w:spacing w:after="0" w:before="80"/>
      </w:pPr>
      <w:r>
        <w:t xml:space="preserve"/>
      </w:r>
    </w:p>
    <w:p>
      <w:pPr>
        <w:spacing w:after="40" w:before="200"/>
      </w:pPr>
      <w:r>
        <w:rPr>
          <w:rFonts w:ascii="Arial" w:cs="Arial" w:eastAsia="Arial" w:hAnsi="Arial"/>
          <w:b/>
          <w:bCs/>
          <w:caps/>
          <w:color w:val="888888"/>
          <w:sz w:val="20"/>
          <w:szCs w:val="20"/>
        </w:rPr>
        <w:t xml:space="preserve">Testimonials in daily emails</w:t>
      </w:r>
    </w:p>
    <w:p>
      <w:pPr>
        <w:spacing w:after="80" w:before="80"/>
        <w:jc w:val="left"/>
      </w:pPr>
      <w:r>
        <w:rPr>
          <w:rFonts w:ascii="Arial" w:cs="Arial" w:eastAsia="Arial" w:hAnsi="Arial"/>
          <w:b w:val="false"/>
          <w:bCs w:val="false"/>
          <w:i w:val="false"/>
          <w:iCs w:val="false"/>
          <w:color w:val="1A1A1A"/>
          <w:sz w:val="22"/>
          <w:szCs w:val="22"/>
        </w:rPr>
        <w:t xml:space="preserve">At least 1 in 7 subscriber emails includes a brief testimonial or case study from a real user. Captured via in-app feedback prompts at 30 and 90 days.</w:t>
      </w:r>
    </w:p>
    <w:p>
      <w:pPr>
        <w:spacing w:after="0" w:before="80"/>
      </w:pPr>
      <w:r>
        <w:t xml:space="preserve"/>
      </w:r>
    </w:p>
    <w:p>
      <w:pPr>
        <w:pStyle w:val="Heading2"/>
      </w:pPr>
      <w:r>
        <w:rPr>
          <w:rFonts w:ascii="Arial" w:cs="Arial" w:eastAsia="Arial" w:hAnsi="Arial"/>
          <w:b/>
          <w:bCs/>
          <w:color w:val="1A1A1A"/>
          <w:sz w:val="26"/>
          <w:szCs w:val="26"/>
        </w:rPr>
        <w:t xml:space="preserve">Organisational retention</w:t>
      </w:r>
    </w:p>
    <w:p>
      <w:pPr>
        <w:spacing w:after="40" w:before="200"/>
      </w:pPr>
      <w:r>
        <w:rPr>
          <w:rFonts w:ascii="Arial" w:cs="Arial" w:eastAsia="Arial" w:hAnsi="Arial"/>
          <w:b/>
          <w:bCs/>
          <w:caps/>
          <w:color w:val="888888"/>
          <w:sz w:val="20"/>
          <w:szCs w:val="20"/>
        </w:rPr>
        <w:t xml:space="preserve">Living dashboard</w:t>
      </w:r>
    </w:p>
    <w:p>
      <w:pPr>
        <w:spacing w:after="80" w:before="80"/>
        <w:jc w:val="left"/>
      </w:pPr>
      <w:r>
        <w:rPr>
          <w:rFonts w:ascii="Arial" w:cs="Arial" w:eastAsia="Arial" w:hAnsi="Arial"/>
          <w:b w:val="false"/>
          <w:bCs w:val="false"/>
          <w:i w:val="false"/>
          <w:iCs w:val="false"/>
          <w:color w:val="1A1A1A"/>
          <w:sz w:val="22"/>
          <w:szCs w:val="22"/>
        </w:rPr>
        <w:t xml:space="preserve">Unlike static snapshot tools, the team dashboard updates continuously. Never goes stale.</w:t>
      </w:r>
    </w:p>
    <w:p>
      <w:pPr>
        <w:spacing w:after="0" w:before="80"/>
      </w:pPr>
      <w:r>
        <w:t xml:space="preserve"/>
      </w:r>
    </w:p>
    <w:p>
      <w:pPr>
        <w:spacing w:after="40" w:before="200"/>
      </w:pPr>
      <w:r>
        <w:rPr>
          <w:rFonts w:ascii="Arial" w:cs="Arial" w:eastAsia="Arial" w:hAnsi="Arial"/>
          <w:b/>
          <w:bCs/>
          <w:caps/>
          <w:color w:val="888888"/>
          <w:sz w:val="20"/>
          <w:szCs w:val="20"/>
        </w:rPr>
        <w:t xml:space="preserve">Gap radar</w:t>
      </w:r>
    </w:p>
    <w:p>
      <w:pPr>
        <w:spacing w:after="80" w:before="80"/>
        <w:jc w:val="left"/>
      </w:pPr>
      <w:r>
        <w:rPr>
          <w:rFonts w:ascii="Arial" w:cs="Arial" w:eastAsia="Arial" w:hAnsi="Arial"/>
          <w:b w:val="false"/>
          <w:bCs w:val="false"/>
          <w:i w:val="false"/>
          <w:iCs w:val="false"/>
          <w:color w:val="1A1A1A"/>
          <w:sz w:val="22"/>
          <w:szCs w:val="22"/>
        </w:rPr>
        <w:t xml:space="preserve">Identifies what the team is systematically missing. Names it. Suggests interventions based on Hue's 32-dimension functional framework.</w:t>
      </w:r>
    </w:p>
    <w:p>
      <w:pPr>
        <w:spacing w:after="0" w:before="80"/>
      </w:pPr>
      <w:r>
        <w:t xml:space="preserve"/>
      </w:r>
    </w:p>
    <w:p>
      <w:pPr>
        <w:spacing w:after="40" w:before="200"/>
      </w:pPr>
      <w:r>
        <w:rPr>
          <w:rFonts w:ascii="Arial" w:cs="Arial" w:eastAsia="Arial" w:hAnsi="Arial"/>
          <w:b/>
          <w:bCs/>
          <w:caps/>
          <w:color w:val="888888"/>
          <w:sz w:val="20"/>
          <w:szCs w:val="20"/>
        </w:rPr>
        <w:t xml:space="preserve">Before/after a hire</w:t>
      </w:r>
    </w:p>
    <w:p>
      <w:pPr>
        <w:spacing w:after="80" w:before="80"/>
        <w:jc w:val="left"/>
      </w:pPr>
      <w:r>
        <w:rPr>
          <w:rFonts w:ascii="Arial" w:cs="Arial" w:eastAsia="Arial" w:hAnsi="Arial"/>
          <w:b w:val="false"/>
          <w:bCs w:val="false"/>
          <w:i w:val="false"/>
          <w:iCs w:val="false"/>
          <w:color w:val="1A1A1A"/>
          <w:sz w:val="22"/>
          <w:szCs w:val="22"/>
        </w:rPr>
        <w:t xml:space="preserve">Models what a new hire would do to team energy composition before the offer is made.</w:t>
      </w:r>
    </w:p>
    <w:p>
      <w:pPr>
        <w:spacing w:after="0" w:before="80"/>
      </w:pPr>
      <w:r>
        <w:t xml:space="preserve"/>
      </w:r>
    </w:p>
    <w:p>
      <w:pPr>
        <w:spacing w:after="40" w:before="200"/>
      </w:pPr>
      <w:r>
        <w:rPr>
          <w:rFonts w:ascii="Arial" w:cs="Arial" w:eastAsia="Arial" w:hAnsi="Arial"/>
          <w:b/>
          <w:bCs/>
          <w:caps/>
          <w:color w:val="888888"/>
          <w:sz w:val="20"/>
          <w:szCs w:val="20"/>
        </w:rPr>
        <w:t xml:space="preserve">Intervention prompt</w:t>
      </w:r>
    </w:p>
    <w:p>
      <w:pPr>
        <w:spacing w:after="80" w:before="80"/>
        <w:jc w:val="left"/>
      </w:pPr>
      <w:r>
        <w:rPr>
          <w:rFonts w:ascii="Arial" w:cs="Arial" w:eastAsia="Arial" w:hAnsi="Arial"/>
          <w:b w:val="false"/>
          <w:bCs w:val="false"/>
          <w:i w:val="false"/>
          <w:iCs w:val="false"/>
          <w:color w:val="1A1A1A"/>
          <w:sz w:val="22"/>
          <w:szCs w:val="22"/>
        </w:rPr>
        <w:t xml:space="preserve">When team engagement patterns shift, Hue alerts the leader before it becomes visible as a problem.</w:t>
      </w:r>
    </w:p>
    <w:p>
      <w:pPr>
        <w:spacing w:after="0" w:before="160"/>
      </w:pPr>
      <w:r>
        <w:t xml:space="preserve"/>
      </w:r>
    </w:p>
    <w:p>
      <w:pPr>
        <w:pStyle w:val="Heading1"/>
      </w:pPr>
      <w:r>
        <w:rPr>
          <w:rFonts w:ascii="Arial" w:cs="Arial" w:eastAsia="Arial" w:hAnsi="Arial"/>
          <w:b/>
          <w:bCs/>
          <w:color w:val="1A1A1A"/>
          <w:sz w:val="36"/>
          <w:szCs w:val="36"/>
        </w:rPr>
        <w:t xml:space="preserve">Retest Mechanic</w:t>
      </w:r>
    </w:p>
    <w:p>
      <w:pPr>
        <w:spacing w:after="80" w:before="80"/>
        <w:jc w:val="left"/>
      </w:pPr>
      <w:r>
        <w:rPr>
          <w:rFonts w:ascii="Arial" w:cs="Arial" w:eastAsia="Arial" w:hAnsi="Arial"/>
          <w:b w:val="false"/>
          <w:bCs w:val="false"/>
          <w:i w:val="false"/>
          <w:iCs w:val="false"/>
          <w:color w:val="1A1A1A"/>
          <w:sz w:val="22"/>
          <w:szCs w:val="22"/>
        </w:rPr>
        <w:t xml:space="preserve">Unlimited retests included in subscription. Quarterly cadence default.</w:t>
      </w:r>
    </w:p>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Every existing tool treats assessment as a fixed moment. Hue says: we believe you grow, and we want to track that. In Insights Discovery a retest costs another £85–130 per person. Hue includes this automatically.</w:t>
      </w:r>
    </w:p>
    <w:p>
      <w:pPr>
        <w:spacing w:after="0" w:before="80"/>
      </w:pPr>
      <w:r>
        <w:t xml:space="preserve"/>
      </w:r>
    </w:p>
    <w:p>
      <w:pPr>
        <w:spacing w:after="80" w:before="80"/>
        <w:jc w:val="left"/>
      </w:pPr>
      <w:r>
        <w:rPr>
          <w:rFonts w:ascii="Arial" w:cs="Arial" w:eastAsia="Arial" w:hAnsi="Arial"/>
          <w:b w:val="false"/>
          <w:bCs w:val="false"/>
          <w:i w:val="false"/>
          <w:iCs w:val="false"/>
          <w:color w:val="1A1A1A"/>
          <w:sz w:val="22"/>
          <w:szCs w:val="22"/>
        </w:rPr>
        <w:t xml:space="preserve">Accountability layer: if retest answers diverge significantly from established pattern, Hue gets curious rather than accusatory: "That's interesting — in your original exploration you described yourself as someone who tends to sit with uncertainty before acting, but today's answers suggest something different. Has something changed?"</w:t>
      </w:r>
    </w:p>
    <w:p>
      <w:pPr>
        <w:spacing w:after="0" w:before="160"/>
      </w:pPr>
      <w:r>
        <w:t xml:space="preserve"/>
      </w:r>
    </w:p>
    <w:p>
      <w:pPr>
        <w:pStyle w:val="Heading1"/>
      </w:pPr>
      <w:r>
        <w:rPr>
          <w:rFonts w:ascii="Arial" w:cs="Arial" w:eastAsia="Arial" w:hAnsi="Arial"/>
          <w:b/>
          <w:bCs/>
          <w:color w:val="1A1A1A"/>
          <w:sz w:val="36"/>
          <w:szCs w:val="36"/>
        </w:rPr>
        <w:t xml:space="preserve">Key Decisions Log</w:t>
      </w:r>
    </w:p>
    <w:p>
      <w:pPr>
        <w:spacing w:after="60" w:before="60"/>
      </w:pPr>
      <w:r>
        <w:rPr>
          <w:rFonts w:ascii="Arial" w:cs="Arial" w:eastAsia="Arial" w:hAnsi="Arial"/>
          <w:i/>
          <w:iCs/>
          <w:color w:val="888888"/>
          <w:sz w:val="20"/>
          <w:szCs w:val="20"/>
        </w:rPr>
        <w:t xml:space="preserve">All decisions below are resolved. Do not reopen without explicit instruction from Simon.</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1"/>
        <w:gridCol w:w="3662"/>
        <w:gridCol w:w="1735"/>
      </w:tblGrid>
      <w:tr>
        <w:tc>
          <w:tcPr>
            <w:tcW w:type="dxa" w:w="4241"/>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Decision</w:t>
            </w:r>
          </w:p>
        </w:tc>
        <w:tc>
          <w:tcPr>
            <w:tcW w:type="dxa" w:w="3662"/>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Rationale</w:t>
            </w:r>
          </w:p>
        </w:tc>
        <w:tc>
          <w:tcPr>
            <w:tcW w:type="dxa" w:w="1735"/>
            <w:tcBorders>
              <w:top w:val="single" w:color="E0E0E0" w:sz="1"/>
              <w:left w:val="single" w:color="E0E0E0" w:sz="1"/>
              <w:bottom w:val="single" w:color="E0E0E0" w:sz="1"/>
              <w:right w:val="single" w:color="E0E0E0" w:sz="1"/>
            </w:tcBorders>
            <w:shd w:fill="F0F0F0" w:val="clear"/>
            <w:tcMar>
              <w:top w:type="dxa" w:w="80"/>
              <w:left w:type="dxa" w:w="120"/>
              <w:bottom w:type="dxa" w:w="80"/>
              <w:right w:type="dxa" w:w="120"/>
            </w:tcMar>
          </w:tcPr>
          <w:p>
            <w:pPr>
              <w:spacing w:after="40" w:before="40"/>
            </w:pPr>
            <w:r>
              <w:rPr>
                <w:rFonts w:ascii="Arial" w:cs="Arial" w:eastAsia="Arial" w:hAnsi="Arial"/>
                <w:b/>
                <w:bCs/>
                <w:color w:val="1A1A1A"/>
                <w:sz w:val="20"/>
                <w:szCs w:val="20"/>
              </w:rPr>
              <w:t xml:space="preserve">Date</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14-day trial replaces free tier</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Card at sign-up drives 49–60% conversion vs 18–25% opt-in; API cost control</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Hard stop at trial expiry, no read-only access</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Preserves urgency at conversion moment; profile retained server-side</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Prospect pilot: £200–300 flat, up to 10 seats, 30 days</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Gets prospects inside the team reveal experience without requiring full procurement decision; paid signals intent</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Pilot fee credited against first year contract</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Reduces barrier to pilot entry; rewards conversion decisively</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Prospects not added to Team Hue</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Prospects would see each other's aggregate data — not appropriate</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Team Hue Demo as live sales asset</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Real cross-functional data shown during sales conversations; reveal gate applies — never browsed unsupervised</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Flat 20% ongoing revenue share for training partners</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Simpler to administer than tiered model</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Partner seat pricing £5/seat/month</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Attractive to partners, sustainable margin retained</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No white-labelling now, revisit at scale</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Protects brand and individual ownership story</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Own CCS listing in Phase 2 alongside partner route</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Independence from any single partner</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Beta partnerships framed as waived licence fee</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Removes procurement friction, positions as commercial arrangement not gift</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Not-for-profit discount applied in conversation only</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Prevents universal claiming, preserves relationship-based pricing</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Capture personal email at org account creation</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Single most important retention mechanic</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Unlimited retests, quarterly cadence default</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Philosophy made into feature; accountability via conversation not warning</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Competitive framing vs dormant one-time spend</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Most orgs bought Insights Discovery once, not annually — that gap is where Hue lives</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r>
        <w:tc>
          <w:tcPr>
            <w:tcW w:type="dxa" w:w="4241"/>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Alison and Angie as priority facilitator contacts</w:t>
            </w:r>
          </w:p>
        </w:tc>
        <w:tc>
          <w:tcPr>
            <w:tcW w:type="dxa" w:w="3662"/>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C4D network, practitioner credibility, warm relationships</w:t>
            </w:r>
          </w:p>
        </w:tc>
        <w:tc>
          <w:tcPr>
            <w:tcW w:type="dxa" w:w="1735"/>
            <w:tcBorders>
              <w:top w:val="single" w:color="E0E0E0" w:sz="1"/>
              <w:left w:val="single" w:color="E0E0E0" w:sz="1"/>
              <w:bottom w:val="single" w:color="E0E0E0" w:sz="1"/>
              <w:right w:val="single" w:color="E0E0E0" w:sz="1"/>
            </w:tcBorders>
            <w:tcMar>
              <w:top w:type="dxa" w:w="80"/>
              <w:left w:type="dxa" w:w="120"/>
              <w:bottom w:type="dxa" w:w="80"/>
              <w:right w:type="dxa" w:w="120"/>
            </w:tcMar>
          </w:tcPr>
          <w:p>
            <w:pPr>
              <w:spacing w:after="40" w:before="40"/>
            </w:pPr>
            <w:r>
              <w:rPr>
                <w:rFonts w:ascii="Arial" w:cs="Arial" w:eastAsia="Arial" w:hAnsi="Arial"/>
                <w:b w:val="false"/>
                <w:bCs w:val="false"/>
                <w:color w:val="1A1A1A"/>
                <w:sz w:val="20"/>
                <w:szCs w:val="20"/>
              </w:rPr>
              <w:t xml:space="preserve">Apr 2026</w:t>
            </w:r>
          </w:p>
        </w:tc>
      </w:tr>
    </w:tbl>
    <w:p>
      <w:pPr>
        <w:spacing w:after="0" w:before="160"/>
      </w:pPr>
      <w:r>
        <w:t xml:space="preserve"/>
      </w:r>
    </w:p>
    <w:p>
      <w:pPr>
        <w:pBdr>
          <w:bottom w:val="single" w:color="E0E0E0" w:sz="4" w:space="1"/>
        </w:pBdr>
        <w:spacing w:after="200" w:before="200"/>
      </w:pPr>
    </w:p>
    <w:p>
      <w:pPr>
        <w:spacing w:after="60" w:before="60"/>
      </w:pPr>
      <w:r>
        <w:rPr>
          <w:rFonts w:ascii="Arial" w:cs="Arial" w:eastAsia="Arial" w:hAnsi="Arial"/>
          <w:i/>
          <w:iCs/>
          <w:color w:val="888888"/>
          <w:sz w:val="20"/>
          <w:szCs w:val="20"/>
        </w:rPr>
        <w:t xml:space="preserve">Hue AI — Commercialisation Strategy · April 2026 · Part of The Change Maker Group ecosystem. IP belongs to Simon Phillips.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pPr>
    <w:r>
      <w:rPr>
        <w:rFonts w:ascii="Arial" w:cs="Arial" w:eastAsia="Arial" w:hAnsi="Arial"/>
        <w:color w:val="888888"/>
        <w:sz w:val="16"/>
        <w:szCs w:val="16"/>
      </w:rPr>
      <w:t xml:space="preserve">Hue AI — Commercialisation Strategy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ind w:left="1080" w:hanging="320"/>
      </w:pPr>
      <w:rPr>
        <w:rFonts w:ascii="Arial" w:cs="Arial" w:eastAsia="Arial" w:hAnsi="Arial"/>
        <w:color w:val="444444"/>
        <w:sz w:val="20"/>
        <w:szCs w:val="2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2026-04-09T14:39:54.718Z</dcterms:created>
  <dcterms:modified xsi:type="dcterms:W3CDTF">2026-04-09T14:39:54.718Z</dcterms:modified>
</cp:coreProperties>
</file>

<file path=docProps/custom.xml><?xml version="1.0" encoding="utf-8"?>
<Properties xmlns="http://schemas.openxmlformats.org/officeDocument/2006/custom-properties" xmlns:vt="http://schemas.openxmlformats.org/officeDocument/2006/docPropsVTypes"/>
</file>