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B7D95" w14:textId="77777777" w:rsidR="00655B7E" w:rsidRDefault="00655B7E">
      <w:pPr>
        <w:spacing w:before="480"/>
      </w:pPr>
    </w:p>
    <w:p w14:paraId="698D940B" w14:textId="77777777" w:rsidR="00655B7E" w:rsidRDefault="00000000">
      <w:pPr>
        <w:spacing w:after="80"/>
      </w:pPr>
      <w:r>
        <w:rPr>
          <w:b/>
          <w:bCs/>
          <w:sz w:val="56"/>
          <w:szCs w:val="56"/>
        </w:rPr>
        <w:t>Hue AI</w:t>
      </w:r>
    </w:p>
    <w:p w14:paraId="77755ECE" w14:textId="77777777" w:rsidR="00655B7E" w:rsidRDefault="00000000">
      <w:pPr>
        <w:spacing w:after="80"/>
      </w:pPr>
      <w:r>
        <w:rPr>
          <w:color w:val="444444"/>
          <w:sz w:val="40"/>
          <w:szCs w:val="40"/>
        </w:rPr>
        <w:t>Beta Test Strategy</w:t>
      </w:r>
    </w:p>
    <w:p w14:paraId="6CC30BDB" w14:textId="77777777" w:rsidR="00655B7E" w:rsidRDefault="00000000">
      <w:pPr>
        <w:spacing w:before="80"/>
      </w:pPr>
      <w:r>
        <w:rPr>
          <w:i/>
          <w:iCs/>
          <w:color w:val="888888"/>
          <w:sz w:val="20"/>
          <w:szCs w:val="20"/>
        </w:rPr>
        <w:t xml:space="preserve">April </w:t>
      </w:r>
      <w:proofErr w:type="gramStart"/>
      <w:r>
        <w:rPr>
          <w:i/>
          <w:iCs/>
          <w:color w:val="888888"/>
          <w:sz w:val="20"/>
          <w:szCs w:val="20"/>
        </w:rPr>
        <w:t>2026  ·</w:t>
      </w:r>
      <w:proofErr w:type="gramEnd"/>
      <w:r>
        <w:rPr>
          <w:i/>
          <w:iCs/>
          <w:color w:val="888888"/>
          <w:sz w:val="20"/>
          <w:szCs w:val="20"/>
        </w:rPr>
        <w:t xml:space="preserve">  Confidential</w:t>
      </w:r>
    </w:p>
    <w:p w14:paraId="11AAB6B0" w14:textId="77777777" w:rsidR="00655B7E" w:rsidRDefault="00655B7E">
      <w:pPr>
        <w:spacing w:before="160"/>
      </w:pPr>
    </w:p>
    <w:p w14:paraId="5D2F4797" w14:textId="77777777" w:rsidR="00655B7E" w:rsidRDefault="00655B7E">
      <w:pPr>
        <w:pBdr>
          <w:bottom w:val="single" w:sz="4" w:space="1" w:color="E0E0E0"/>
        </w:pBdr>
        <w:spacing w:before="200" w:after="200"/>
      </w:pPr>
    </w:p>
    <w:p w14:paraId="79DA5AE5" w14:textId="77777777" w:rsidR="00655B7E" w:rsidRDefault="00655B7E">
      <w:pPr>
        <w:spacing w:before="1120"/>
      </w:pPr>
    </w:p>
    <w:p w14:paraId="48DE0ABD" w14:textId="77777777" w:rsidR="00655B7E" w:rsidRDefault="00000000">
      <w:pPr>
        <w:pStyle w:val="Heading1"/>
      </w:pPr>
      <w:r>
        <w:t>Purpose</w:t>
      </w:r>
    </w:p>
    <w:p w14:paraId="094EBEC5" w14:textId="77777777" w:rsidR="00655B7E" w:rsidRDefault="00000000">
      <w:pPr>
        <w:spacing w:before="80" w:after="80"/>
      </w:pPr>
      <w:r>
        <w:t>This document sets out the testing approach for Hue's beta phase — covering three distinct cohorts, what we are asking of each, and how to get clear signal within weeks rather than months. It is a working document, not a report. It should be read, marked up, and used.</w:t>
      </w:r>
    </w:p>
    <w:p w14:paraId="2CF93155" w14:textId="77777777" w:rsidR="00655B7E" w:rsidRDefault="00655B7E">
      <w:pPr>
        <w:spacing w:before="80"/>
      </w:pPr>
    </w:p>
    <w:p w14:paraId="6EE65255" w14:textId="77777777" w:rsidR="00655B7E" w:rsidRDefault="00000000">
      <w:pPr>
        <w:spacing w:before="80" w:after="80"/>
      </w:pPr>
      <w:r>
        <w:t>The goal is not to validate Hue in a formal sense. It is to find out, quickly and honestly, what is working, what is surprising people, and what needs to change before full commercial launch.</w:t>
      </w:r>
    </w:p>
    <w:p w14:paraId="14F17986" w14:textId="77777777" w:rsidR="00655B7E" w:rsidRDefault="00655B7E">
      <w:pPr>
        <w:spacing w:before="160"/>
      </w:pPr>
    </w:p>
    <w:p w14:paraId="0ECFB9DD" w14:textId="77777777" w:rsidR="00655B7E" w:rsidRDefault="00000000">
      <w:pPr>
        <w:pStyle w:val="Heading1"/>
      </w:pPr>
      <w:r>
        <w:t>The Three Cohorts</w:t>
      </w:r>
    </w:p>
    <w:p w14:paraId="5219FEE5" w14:textId="77777777" w:rsidR="00655B7E" w:rsidRDefault="00000000">
      <w:pPr>
        <w:spacing w:before="80" w:after="80"/>
      </w:pPr>
      <w:r>
        <w:t>Testing runs across three distinct groups simultaneously. Each group gives different signal. None of them are interchangeable.</w:t>
      </w:r>
    </w:p>
    <w:p w14:paraId="4A546617" w14:textId="77777777" w:rsidR="00655B7E" w:rsidRDefault="00655B7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2506"/>
        <w:gridCol w:w="5012"/>
      </w:tblGrid>
      <w:tr w:rsidR="00655B7E" w14:paraId="6603FA5B" w14:textId="77777777">
        <w:tblPrEx>
          <w:tblCellMar>
            <w:top w:w="0" w:type="dxa"/>
            <w:bottom w:w="0" w:type="dxa"/>
          </w:tblCellMar>
        </w:tblPrEx>
        <w:tc>
          <w:tcPr>
            <w:tcW w:w="2120" w:type="dxa"/>
            <w:tcBorders>
              <w:top w:val="single" w:sz="1" w:space="0" w:color="E0E0E0"/>
              <w:left w:val="single" w:sz="1" w:space="0" w:color="E0E0E0"/>
              <w:bottom w:val="single" w:sz="1" w:space="0" w:color="E0E0E0"/>
              <w:right w:val="single" w:sz="1" w:space="0" w:color="E0E0E0"/>
            </w:tcBorders>
            <w:shd w:val="clear" w:color="auto" w:fill="F0F0F0"/>
            <w:tcMar>
              <w:top w:w="80" w:type="dxa"/>
              <w:left w:w="120" w:type="dxa"/>
              <w:bottom w:w="80" w:type="dxa"/>
              <w:right w:w="120" w:type="dxa"/>
            </w:tcMar>
          </w:tcPr>
          <w:p w14:paraId="22DD6476" w14:textId="77777777" w:rsidR="00655B7E" w:rsidRDefault="00000000">
            <w:pPr>
              <w:spacing w:before="40" w:after="40"/>
            </w:pPr>
            <w:r>
              <w:rPr>
                <w:b/>
                <w:bCs/>
                <w:sz w:val="20"/>
                <w:szCs w:val="20"/>
              </w:rPr>
              <w:t>Cohort</w:t>
            </w:r>
          </w:p>
        </w:tc>
        <w:tc>
          <w:tcPr>
            <w:tcW w:w="2506" w:type="dxa"/>
            <w:tcBorders>
              <w:top w:val="single" w:sz="1" w:space="0" w:color="E0E0E0"/>
              <w:left w:val="single" w:sz="1" w:space="0" w:color="E0E0E0"/>
              <w:bottom w:val="single" w:sz="1" w:space="0" w:color="E0E0E0"/>
              <w:right w:val="single" w:sz="1" w:space="0" w:color="E0E0E0"/>
            </w:tcBorders>
            <w:shd w:val="clear" w:color="auto" w:fill="F0F0F0"/>
            <w:tcMar>
              <w:top w:w="80" w:type="dxa"/>
              <w:left w:w="120" w:type="dxa"/>
              <w:bottom w:w="80" w:type="dxa"/>
              <w:right w:w="120" w:type="dxa"/>
            </w:tcMar>
          </w:tcPr>
          <w:p w14:paraId="2263D01F" w14:textId="77777777" w:rsidR="00655B7E" w:rsidRDefault="00000000">
            <w:pPr>
              <w:spacing w:before="40" w:after="40"/>
            </w:pPr>
            <w:r>
              <w:rPr>
                <w:b/>
                <w:bCs/>
                <w:sz w:val="20"/>
                <w:szCs w:val="20"/>
              </w:rPr>
              <w:t>Who</w:t>
            </w:r>
          </w:p>
        </w:tc>
        <w:tc>
          <w:tcPr>
            <w:tcW w:w="5012" w:type="dxa"/>
            <w:tcBorders>
              <w:top w:val="single" w:sz="1" w:space="0" w:color="E0E0E0"/>
              <w:left w:val="single" w:sz="1" w:space="0" w:color="E0E0E0"/>
              <w:bottom w:val="single" w:sz="1" w:space="0" w:color="E0E0E0"/>
              <w:right w:val="single" w:sz="1" w:space="0" w:color="E0E0E0"/>
            </w:tcBorders>
            <w:shd w:val="clear" w:color="auto" w:fill="F0F0F0"/>
            <w:tcMar>
              <w:top w:w="80" w:type="dxa"/>
              <w:left w:w="120" w:type="dxa"/>
              <w:bottom w:w="80" w:type="dxa"/>
              <w:right w:w="120" w:type="dxa"/>
            </w:tcMar>
          </w:tcPr>
          <w:p w14:paraId="6A33F326" w14:textId="77777777" w:rsidR="00655B7E" w:rsidRDefault="00000000">
            <w:pPr>
              <w:spacing w:before="40" w:after="40"/>
            </w:pPr>
            <w:r>
              <w:rPr>
                <w:b/>
                <w:bCs/>
                <w:sz w:val="20"/>
                <w:szCs w:val="20"/>
              </w:rPr>
              <w:t>Primary signal</w:t>
            </w:r>
          </w:p>
        </w:tc>
      </w:tr>
      <w:tr w:rsidR="00655B7E" w14:paraId="4B518C1F" w14:textId="77777777">
        <w:tblPrEx>
          <w:tblCellMar>
            <w:top w:w="0" w:type="dxa"/>
            <w:bottom w:w="0" w:type="dxa"/>
          </w:tblCellMar>
        </w:tblPrEx>
        <w:tc>
          <w:tcPr>
            <w:tcW w:w="21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1A85112" w14:textId="77777777" w:rsidR="00655B7E" w:rsidRDefault="00000000">
            <w:pPr>
              <w:spacing w:before="40" w:after="40"/>
            </w:pPr>
            <w:r>
              <w:rPr>
                <w:sz w:val="20"/>
                <w:szCs w:val="20"/>
              </w:rPr>
              <w:t>TCMG</w:t>
            </w:r>
          </w:p>
        </w:tc>
        <w:tc>
          <w:tcPr>
            <w:tcW w:w="250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13AFB79" w14:textId="77777777" w:rsidR="00655B7E" w:rsidRDefault="00000000">
            <w:pPr>
              <w:spacing w:before="40" w:after="40"/>
            </w:pPr>
            <w:r>
              <w:rPr>
                <w:sz w:val="20"/>
                <w:szCs w:val="20"/>
              </w:rPr>
              <w:t>6 members — existing team, C4D-literate</w:t>
            </w:r>
          </w:p>
        </w:tc>
        <w:tc>
          <w:tcPr>
            <w:tcW w:w="501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ECE4C49" w14:textId="77777777" w:rsidR="00655B7E" w:rsidRDefault="00000000">
            <w:pPr>
              <w:spacing w:before="40" w:after="40"/>
            </w:pPr>
            <w:r>
              <w:rPr>
                <w:sz w:val="20"/>
                <w:szCs w:val="20"/>
              </w:rPr>
              <w:t>Expert benchmark. Profile accuracy vs known self-understanding. Experience of Hue vs questionnaire-based tools.</w:t>
            </w:r>
          </w:p>
        </w:tc>
      </w:tr>
      <w:tr w:rsidR="00655B7E" w14:paraId="076C35FD" w14:textId="77777777">
        <w:tblPrEx>
          <w:tblCellMar>
            <w:top w:w="0" w:type="dxa"/>
            <w:bottom w:w="0" w:type="dxa"/>
          </w:tblCellMar>
        </w:tblPrEx>
        <w:tc>
          <w:tcPr>
            <w:tcW w:w="21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27967FE" w14:textId="77777777" w:rsidR="00655B7E" w:rsidRDefault="00000000">
            <w:pPr>
              <w:spacing w:before="40" w:after="40"/>
            </w:pPr>
            <w:r>
              <w:rPr>
                <w:sz w:val="20"/>
                <w:szCs w:val="20"/>
              </w:rPr>
              <w:t>Individual beta</w:t>
            </w:r>
          </w:p>
        </w:tc>
        <w:tc>
          <w:tcPr>
            <w:tcW w:w="250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6972FDF" w14:textId="77777777" w:rsidR="00655B7E" w:rsidRDefault="00000000">
            <w:pPr>
              <w:spacing w:before="40" w:after="40"/>
            </w:pPr>
            <w:r>
              <w:rPr>
                <w:sz w:val="20"/>
                <w:szCs w:val="20"/>
              </w:rPr>
              <w:t>People with no colour model background — accessing Hue free</w:t>
            </w:r>
          </w:p>
        </w:tc>
        <w:tc>
          <w:tcPr>
            <w:tcW w:w="501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1146B7C" w14:textId="77777777" w:rsidR="00655B7E" w:rsidRDefault="00000000">
            <w:pPr>
              <w:spacing w:before="40" w:after="40"/>
            </w:pPr>
            <w:r>
              <w:rPr>
                <w:sz w:val="20"/>
                <w:szCs w:val="20"/>
              </w:rPr>
              <w:t>Cold-start user experience. Does the product work without scaffolding? Would they pay?</w:t>
            </w:r>
          </w:p>
        </w:tc>
      </w:tr>
      <w:tr w:rsidR="00655B7E" w14:paraId="15C0E999" w14:textId="77777777">
        <w:tblPrEx>
          <w:tblCellMar>
            <w:top w:w="0" w:type="dxa"/>
            <w:bottom w:w="0" w:type="dxa"/>
          </w:tblCellMar>
        </w:tblPrEx>
        <w:tc>
          <w:tcPr>
            <w:tcW w:w="21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D5FD864" w14:textId="77777777" w:rsidR="00655B7E" w:rsidRDefault="00000000">
            <w:pPr>
              <w:spacing w:before="40" w:after="40"/>
            </w:pPr>
            <w:r>
              <w:rPr>
                <w:sz w:val="20"/>
                <w:szCs w:val="20"/>
              </w:rPr>
              <w:t>Team Hue</w:t>
            </w:r>
          </w:p>
        </w:tc>
        <w:tc>
          <w:tcPr>
            <w:tcW w:w="250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0FD637C" w14:textId="77777777" w:rsidR="00655B7E" w:rsidRDefault="00000000">
            <w:pPr>
              <w:spacing w:before="40" w:after="40"/>
            </w:pPr>
            <w:r>
              <w:rPr>
                <w:sz w:val="20"/>
                <w:szCs w:val="20"/>
              </w:rPr>
              <w:t>Inner circle — psychologist, sales lead, UX/UI expert and others</w:t>
            </w:r>
          </w:p>
        </w:tc>
        <w:tc>
          <w:tcPr>
            <w:tcW w:w="501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3DE6476" w14:textId="77777777" w:rsidR="00655B7E" w:rsidRDefault="00000000">
            <w:pPr>
              <w:spacing w:before="40" w:after="40"/>
            </w:pPr>
            <w:r>
              <w:rPr>
                <w:sz w:val="20"/>
                <w:szCs w:val="20"/>
              </w:rPr>
              <w:t>Cross-functional team dashboard data. Live demo asset for sales conversations. Expert-level product feedback.</w:t>
            </w:r>
          </w:p>
        </w:tc>
      </w:tr>
    </w:tbl>
    <w:p w14:paraId="24CE472F" w14:textId="77777777" w:rsidR="00655B7E" w:rsidRDefault="00655B7E">
      <w:pPr>
        <w:spacing w:before="160"/>
      </w:pPr>
    </w:p>
    <w:p w14:paraId="188D9D2F" w14:textId="77777777" w:rsidR="00655B7E" w:rsidRDefault="00000000">
      <w:pPr>
        <w:pStyle w:val="Heading1"/>
      </w:pPr>
      <w:r>
        <w:t>Cohort 1 — TCMG</w:t>
      </w:r>
    </w:p>
    <w:p w14:paraId="0BD3D604" w14:textId="77777777" w:rsidR="00655B7E" w:rsidRDefault="00000000">
      <w:pPr>
        <w:spacing w:before="200" w:after="40"/>
      </w:pPr>
      <w:r>
        <w:rPr>
          <w:b/>
          <w:bCs/>
          <w:caps/>
          <w:color w:val="888888"/>
          <w:sz w:val="20"/>
          <w:szCs w:val="20"/>
        </w:rPr>
        <w:t>Who they are</w:t>
      </w:r>
    </w:p>
    <w:p w14:paraId="58C604EF" w14:textId="77777777" w:rsidR="00655B7E" w:rsidRDefault="00000000">
      <w:pPr>
        <w:spacing w:before="80" w:after="80"/>
      </w:pPr>
      <w:r>
        <w:lastRenderedPageBreak/>
        <w:t>Six members of The Change Maker Group. They know each other, they know colour models, and they know Clarity4D specifically. This is the sharpest expert lens available at this stage.</w:t>
      </w:r>
    </w:p>
    <w:p w14:paraId="3FB8287B" w14:textId="77777777" w:rsidR="00655B7E" w:rsidRDefault="00655B7E">
      <w:pPr>
        <w:spacing w:before="80"/>
      </w:pPr>
    </w:p>
    <w:p w14:paraId="16F5C07E" w14:textId="77777777" w:rsidR="00655B7E" w:rsidRDefault="00000000">
      <w:pPr>
        <w:spacing w:before="200" w:after="40"/>
      </w:pPr>
      <w:r>
        <w:rPr>
          <w:b/>
          <w:bCs/>
          <w:caps/>
          <w:color w:val="888888"/>
          <w:sz w:val="20"/>
          <w:szCs w:val="20"/>
        </w:rPr>
        <w:t>What they test</w:t>
      </w:r>
    </w:p>
    <w:p w14:paraId="6CE65206" w14:textId="77777777" w:rsidR="00655B7E" w:rsidRDefault="00000000">
      <w:pPr>
        <w:spacing w:before="80" w:after="80"/>
      </w:pPr>
      <w:r>
        <w:t>TCMG tests the organisational team process — how Hue works when a real team goes through it together, from individual assessment through to the team dashboard reveal. They are also the primary benchmark for profile accuracy, because they have well-developed self-knowledge and a reference point in their existing C4D profiles.</w:t>
      </w:r>
    </w:p>
    <w:p w14:paraId="5AE5AF7B" w14:textId="77777777" w:rsidR="00655B7E" w:rsidRDefault="00655B7E">
      <w:pPr>
        <w:spacing w:before="80"/>
      </w:pPr>
    </w:p>
    <w:p w14:paraId="3889F2E7" w14:textId="77777777" w:rsidR="00655B7E" w:rsidRDefault="00000000">
      <w:pPr>
        <w:spacing w:before="200" w:after="40"/>
      </w:pPr>
      <w:r>
        <w:rPr>
          <w:b/>
          <w:bCs/>
          <w:caps/>
          <w:color w:val="888888"/>
          <w:sz w:val="20"/>
          <w:szCs w:val="20"/>
        </w:rPr>
        <w:t>What to ask of them</w:t>
      </w:r>
    </w:p>
    <w:p w14:paraId="1F384D01" w14:textId="77777777" w:rsidR="00655B7E" w:rsidRDefault="00000000">
      <w:pPr>
        <w:pStyle w:val="ListParagraph"/>
        <w:numPr>
          <w:ilvl w:val="0"/>
          <w:numId w:val="2"/>
        </w:numPr>
        <w:spacing w:before="40" w:after="40"/>
      </w:pPr>
      <w:r>
        <w:t>Does your Hue profile feel like you? Where does it ring true and where does it feel off?</w:t>
      </w:r>
    </w:p>
    <w:p w14:paraId="4DEEE4F9" w14:textId="77777777" w:rsidR="00655B7E" w:rsidRDefault="00000000">
      <w:pPr>
        <w:pStyle w:val="ListParagraph"/>
        <w:numPr>
          <w:ilvl w:val="0"/>
          <w:numId w:val="2"/>
        </w:numPr>
        <w:spacing w:before="40" w:after="40"/>
      </w:pPr>
      <w:r>
        <w:t>Privately compare your Hue energy picture to what you know from C4D — does the broad pattern hold?</w:t>
      </w:r>
    </w:p>
    <w:p w14:paraId="60D2F47B" w14:textId="77777777" w:rsidR="00655B7E" w:rsidRDefault="00000000">
      <w:pPr>
        <w:pStyle w:val="ListParagraph"/>
        <w:numPr>
          <w:ilvl w:val="0"/>
          <w:numId w:val="2"/>
        </w:numPr>
        <w:spacing w:before="40" w:after="40"/>
      </w:pPr>
      <w:r>
        <w:t>Rate the conversation experience against filling in the C4D questionnaire. Which felt more natural? Which felt more revealing?</w:t>
      </w:r>
    </w:p>
    <w:p w14:paraId="17F9EC3A" w14:textId="77777777" w:rsidR="00655B7E" w:rsidRDefault="00000000">
      <w:pPr>
        <w:pStyle w:val="ListParagraph"/>
        <w:numPr>
          <w:ilvl w:val="0"/>
          <w:numId w:val="2"/>
        </w:numPr>
        <w:spacing w:before="40" w:after="40"/>
      </w:pPr>
      <w:r>
        <w:t>What did Hue surface that C4D didn't, if anything?</w:t>
      </w:r>
    </w:p>
    <w:p w14:paraId="69E822DE" w14:textId="77777777" w:rsidR="00655B7E" w:rsidRDefault="00000000">
      <w:pPr>
        <w:pStyle w:val="ListParagraph"/>
        <w:numPr>
          <w:ilvl w:val="0"/>
          <w:numId w:val="2"/>
        </w:numPr>
        <w:spacing w:before="40" w:after="40"/>
      </w:pPr>
      <w:r>
        <w:t>Does the language — the way Hue describes energy preferences — feel like description or label?</w:t>
      </w:r>
    </w:p>
    <w:p w14:paraId="098E8887" w14:textId="77777777" w:rsidR="00655B7E" w:rsidRDefault="00000000">
      <w:pPr>
        <w:pStyle w:val="ListParagraph"/>
        <w:numPr>
          <w:ilvl w:val="0"/>
          <w:numId w:val="2"/>
        </w:numPr>
        <w:spacing w:before="40" w:after="40"/>
      </w:pPr>
      <w:r>
        <w:t>What does the team constellation tell you about TCMG that you didn't already know? What does it confirm?</w:t>
      </w:r>
    </w:p>
    <w:p w14:paraId="3C184968" w14:textId="77777777" w:rsidR="00655B7E" w:rsidRDefault="00655B7E">
      <w:pPr>
        <w:spacing w:before="80"/>
      </w:pPr>
    </w:p>
    <w:p w14:paraId="0AC4F4A0" w14:textId="77777777" w:rsidR="00655B7E" w:rsidRDefault="00000000">
      <w:pPr>
        <w:spacing w:before="200" w:after="40"/>
      </w:pPr>
      <w:r>
        <w:rPr>
          <w:b/>
          <w:bCs/>
          <w:caps/>
          <w:color w:val="888888"/>
          <w:sz w:val="20"/>
          <w:szCs w:val="20"/>
        </w:rPr>
        <w:t>Important note</w:t>
      </w:r>
    </w:p>
    <w:p w14:paraId="40E9496F" w14:textId="77777777" w:rsidR="00655B7E" w:rsidRDefault="00000000">
      <w:pPr>
        <w:spacing w:before="80" w:after="80"/>
      </w:pPr>
      <w:r>
        <w:t>C4D must never be named in any Hue-facing material, conversation, or output. Internal comparisons by testers are valuable; public references are not made. TCMG members testing Hue should understand this clearly.</w:t>
      </w:r>
    </w:p>
    <w:p w14:paraId="50B300B7" w14:textId="77777777" w:rsidR="00655B7E" w:rsidRDefault="00655B7E">
      <w:pPr>
        <w:spacing w:before="160"/>
      </w:pPr>
    </w:p>
    <w:p w14:paraId="7E2F3AB4" w14:textId="77777777" w:rsidR="00655B7E" w:rsidRDefault="00000000">
      <w:pPr>
        <w:pStyle w:val="Heading1"/>
      </w:pPr>
      <w:r>
        <w:t>Cohort 2 — Individual Beta</w:t>
      </w:r>
    </w:p>
    <w:p w14:paraId="74EBFD81" w14:textId="77777777" w:rsidR="00655B7E" w:rsidRDefault="00000000">
      <w:pPr>
        <w:spacing w:before="200" w:after="40"/>
      </w:pPr>
      <w:r>
        <w:rPr>
          <w:b/>
          <w:bCs/>
          <w:caps/>
          <w:color w:val="888888"/>
          <w:sz w:val="20"/>
          <w:szCs w:val="20"/>
        </w:rPr>
        <w:t>Who they are</w:t>
      </w:r>
    </w:p>
    <w:p w14:paraId="1C693048" w14:textId="77777777" w:rsidR="00655B7E" w:rsidRDefault="00000000">
      <w:pPr>
        <w:spacing w:before="80" w:after="80"/>
      </w:pPr>
      <w:r>
        <w:t xml:space="preserve">People with no </w:t>
      </w:r>
      <w:proofErr w:type="gramStart"/>
      <w:r>
        <w:t>particular background</w:t>
      </w:r>
      <w:proofErr w:type="gramEnd"/>
      <w:r>
        <w:t xml:space="preserve"> in colour models, psychometric tools, or people development frameworks. They arrive at Hue cold. This is the real consumer product test — does it work without any scaffolding?</w:t>
      </w:r>
    </w:p>
    <w:p w14:paraId="0A6DFBB9" w14:textId="77777777" w:rsidR="00655B7E" w:rsidRDefault="00655B7E">
      <w:pPr>
        <w:spacing w:before="80"/>
      </w:pPr>
    </w:p>
    <w:p w14:paraId="385E9936" w14:textId="77777777" w:rsidR="00655B7E" w:rsidRDefault="00000000">
      <w:pPr>
        <w:spacing w:before="200" w:after="40"/>
      </w:pPr>
      <w:r>
        <w:rPr>
          <w:b/>
          <w:bCs/>
          <w:caps/>
          <w:color w:val="888888"/>
          <w:sz w:val="20"/>
          <w:szCs w:val="20"/>
        </w:rPr>
        <w:t>Access</w:t>
      </w:r>
    </w:p>
    <w:p w14:paraId="20287E84" w14:textId="77777777" w:rsidR="00655B7E" w:rsidRDefault="00000000">
      <w:pPr>
        <w:spacing w:before="80" w:after="80"/>
      </w:pPr>
      <w:r>
        <w:t xml:space="preserve">Individual beta testers register at myhue.co using the standard registration flow. Their email is added to the beta list in advance. They receive full access with no trial clock — no expiry, no payment prompt, no pressure. Their welcome email is warm, honest about the early-stage nature of the </w:t>
      </w:r>
      <w:proofErr w:type="gramStart"/>
      <w:r>
        <w:t>product, and</w:t>
      </w:r>
      <w:proofErr w:type="gramEnd"/>
      <w:r>
        <w:t xml:space="preserve"> invites candid feedback. All follow-up is manual.</w:t>
      </w:r>
    </w:p>
    <w:p w14:paraId="4C8A55E2" w14:textId="77777777" w:rsidR="00655B7E" w:rsidRDefault="00655B7E">
      <w:pPr>
        <w:spacing w:before="80"/>
      </w:pPr>
    </w:p>
    <w:p w14:paraId="720DA753" w14:textId="77777777" w:rsidR="00655B7E" w:rsidRDefault="00000000">
      <w:pPr>
        <w:spacing w:before="200" w:after="40"/>
      </w:pPr>
      <w:r>
        <w:rPr>
          <w:b/>
          <w:bCs/>
          <w:caps/>
          <w:color w:val="888888"/>
          <w:sz w:val="20"/>
          <w:szCs w:val="20"/>
        </w:rPr>
        <w:t>How long is access free?</w:t>
      </w:r>
    </w:p>
    <w:p w14:paraId="10D90E65" w14:textId="77777777" w:rsidR="00655B7E" w:rsidRDefault="00000000">
      <w:pPr>
        <w:spacing w:before="80" w:after="80"/>
      </w:pPr>
      <w:r>
        <w:t>There is no clock on beta access. The decision on when to end the beta period is driven by signal, not time. Four to six weeks of active use is enough to generate the feedback needed. The question to resolve before ending beta is: do we have enough evidence of what people would pay for and why?</w:t>
      </w:r>
    </w:p>
    <w:p w14:paraId="7209FA40" w14:textId="77777777" w:rsidR="00655B7E" w:rsidRDefault="00655B7E">
      <w:pPr>
        <w:spacing w:before="80"/>
      </w:pPr>
    </w:p>
    <w:p w14:paraId="03D266FC" w14:textId="77777777" w:rsidR="00655B7E" w:rsidRDefault="00000000">
      <w:pPr>
        <w:spacing w:before="200" w:after="40"/>
      </w:pPr>
      <w:r>
        <w:rPr>
          <w:b/>
          <w:bCs/>
          <w:caps/>
          <w:color w:val="888888"/>
          <w:sz w:val="20"/>
          <w:szCs w:val="20"/>
        </w:rPr>
        <w:t>What to ask of them</w:t>
      </w:r>
    </w:p>
    <w:p w14:paraId="39C57D3B" w14:textId="77777777" w:rsidR="00655B7E" w:rsidRDefault="00000000">
      <w:pPr>
        <w:pStyle w:val="ListParagraph"/>
        <w:numPr>
          <w:ilvl w:val="0"/>
          <w:numId w:val="2"/>
        </w:numPr>
        <w:spacing w:before="40" w:after="40"/>
      </w:pPr>
      <w:r>
        <w:lastRenderedPageBreak/>
        <w:t>What did you think this was before you started? What did you think it was after?</w:t>
      </w:r>
    </w:p>
    <w:p w14:paraId="6862164D" w14:textId="77777777" w:rsidR="00655B7E" w:rsidRDefault="00000000">
      <w:pPr>
        <w:pStyle w:val="ListParagraph"/>
        <w:numPr>
          <w:ilvl w:val="0"/>
          <w:numId w:val="2"/>
        </w:numPr>
        <w:spacing w:before="40" w:after="40"/>
      </w:pPr>
      <w:r>
        <w:t>Was there a moment in the conversation that surprised you?</w:t>
      </w:r>
    </w:p>
    <w:p w14:paraId="15FE67F5" w14:textId="77777777" w:rsidR="00655B7E" w:rsidRDefault="00000000">
      <w:pPr>
        <w:pStyle w:val="ListParagraph"/>
        <w:numPr>
          <w:ilvl w:val="0"/>
          <w:numId w:val="2"/>
        </w:numPr>
        <w:spacing w:before="40" w:after="40"/>
      </w:pPr>
      <w:r>
        <w:t>Did the result feel like something you said, or something done to you?</w:t>
      </w:r>
    </w:p>
    <w:p w14:paraId="5BE6EFA1" w14:textId="77777777" w:rsidR="00655B7E" w:rsidRDefault="00000000">
      <w:pPr>
        <w:pStyle w:val="ListParagraph"/>
        <w:numPr>
          <w:ilvl w:val="0"/>
          <w:numId w:val="2"/>
        </w:numPr>
        <w:spacing w:before="40" w:after="40"/>
      </w:pPr>
      <w:r>
        <w:t>Would you share your profile with someone? Who, and in what context?</w:t>
      </w:r>
    </w:p>
    <w:p w14:paraId="4583D438" w14:textId="77777777" w:rsidR="00655B7E" w:rsidRDefault="00000000">
      <w:pPr>
        <w:pStyle w:val="ListParagraph"/>
        <w:numPr>
          <w:ilvl w:val="0"/>
          <w:numId w:val="2"/>
        </w:numPr>
        <w:spacing w:before="40" w:after="40"/>
      </w:pPr>
      <w:r>
        <w:t>If this stopped being free tomorrow, what would you do?</w:t>
      </w:r>
    </w:p>
    <w:p w14:paraId="6D715549" w14:textId="77777777" w:rsidR="00655B7E" w:rsidRDefault="00000000">
      <w:pPr>
        <w:pStyle w:val="ListParagraph"/>
        <w:numPr>
          <w:ilvl w:val="0"/>
          <w:numId w:val="2"/>
        </w:numPr>
        <w:spacing w:before="40" w:after="40"/>
      </w:pPr>
      <w:r>
        <w:t>What felt missing — if anything?</w:t>
      </w:r>
    </w:p>
    <w:p w14:paraId="2FE1D5C5" w14:textId="77777777" w:rsidR="00655B7E" w:rsidRDefault="00655B7E">
      <w:pPr>
        <w:spacing w:before="80"/>
      </w:pPr>
    </w:p>
    <w:p w14:paraId="05D2B0F9" w14:textId="77777777" w:rsidR="00655B7E" w:rsidRDefault="00000000">
      <w:pPr>
        <w:spacing w:before="200" w:after="40"/>
      </w:pPr>
      <w:r>
        <w:rPr>
          <w:b/>
          <w:bCs/>
          <w:caps/>
          <w:color w:val="888888"/>
          <w:sz w:val="20"/>
          <w:szCs w:val="20"/>
        </w:rPr>
        <w:t>The anti-labelling test</w:t>
      </w:r>
    </w:p>
    <w:p w14:paraId="7EDC0217" w14:textId="77777777" w:rsidR="00655B7E" w:rsidRDefault="00000000">
      <w:pPr>
        <w:spacing w:before="80" w:after="80"/>
      </w:pPr>
      <w:r>
        <w:t>The question 'did the result feel like something you said, or something done to you?' is the most important one for this cohort. Hue is built to break the labelling model. If individual testers with no colour model background feel categorised rather than understood, that is critical signal — regardless of how accurate the profile is.</w:t>
      </w:r>
    </w:p>
    <w:p w14:paraId="5949310D" w14:textId="77777777" w:rsidR="00655B7E" w:rsidRDefault="00655B7E">
      <w:pPr>
        <w:spacing w:before="160"/>
      </w:pPr>
    </w:p>
    <w:p w14:paraId="67EBB3EF" w14:textId="77777777" w:rsidR="00655B7E" w:rsidRDefault="00000000">
      <w:pPr>
        <w:pStyle w:val="Heading1"/>
      </w:pPr>
      <w:r>
        <w:t>Cohort 3 — Team Hue</w:t>
      </w:r>
    </w:p>
    <w:p w14:paraId="5862CD76" w14:textId="77777777" w:rsidR="00655B7E" w:rsidRDefault="00000000">
      <w:pPr>
        <w:spacing w:before="200" w:after="40"/>
      </w:pPr>
      <w:r>
        <w:rPr>
          <w:b/>
          <w:bCs/>
          <w:caps/>
          <w:color w:val="888888"/>
          <w:sz w:val="20"/>
          <w:szCs w:val="20"/>
        </w:rPr>
        <w:t>Who they are</w:t>
      </w:r>
    </w:p>
    <w:p w14:paraId="61710873" w14:textId="77777777" w:rsidR="00655B7E" w:rsidRDefault="00000000">
      <w:pPr>
        <w:spacing w:before="80" w:after="80"/>
      </w:pPr>
      <w:r>
        <w:t>The inner circle involved in building and shaping Hue — including a psychologist, sales lead, and UX/UI expert. These are not prospects. They are people with direct investment in the product's success and the expertise to give structured feedback from their own professional perspective.</w:t>
      </w:r>
    </w:p>
    <w:p w14:paraId="485E02C9" w14:textId="77777777" w:rsidR="00655B7E" w:rsidRDefault="00655B7E">
      <w:pPr>
        <w:spacing w:before="80"/>
      </w:pPr>
    </w:p>
    <w:p w14:paraId="599DBF25" w14:textId="77777777" w:rsidR="00655B7E" w:rsidRDefault="00000000">
      <w:pPr>
        <w:spacing w:before="200" w:after="40"/>
      </w:pPr>
      <w:r>
        <w:rPr>
          <w:b/>
          <w:bCs/>
          <w:caps/>
          <w:color w:val="888888"/>
          <w:sz w:val="20"/>
          <w:szCs w:val="20"/>
        </w:rPr>
        <w:t>What they test</w:t>
      </w:r>
    </w:p>
    <w:p w14:paraId="13BADE63" w14:textId="77777777" w:rsidR="00655B7E" w:rsidRDefault="00000000">
      <w:pPr>
        <w:spacing w:before="80" w:after="80"/>
      </w:pPr>
      <w:r>
        <w:t>Team Hue generates the second team dashboard dataset — a cross-functional spread of energy tendencies that serves two purposes. First, it is a live demo asset: a real team constellation that can be shown in sales conversations without using TCMG data. Second, it generates expert-level feedback from people who can assess the product from specialist angles — psychological rigour, commercial positioning, UX experience.</w:t>
      </w:r>
    </w:p>
    <w:p w14:paraId="02F23DAE" w14:textId="77777777" w:rsidR="00655B7E" w:rsidRDefault="00655B7E">
      <w:pPr>
        <w:spacing w:before="80"/>
      </w:pPr>
    </w:p>
    <w:p w14:paraId="2234FB27" w14:textId="77777777" w:rsidR="00655B7E" w:rsidRDefault="00000000">
      <w:pPr>
        <w:spacing w:before="200" w:after="40"/>
      </w:pPr>
      <w:r>
        <w:rPr>
          <w:b/>
          <w:bCs/>
          <w:caps/>
          <w:color w:val="888888"/>
          <w:sz w:val="20"/>
          <w:szCs w:val="20"/>
        </w:rPr>
        <w:t>On prospects — separate from this cohort</w:t>
      </w:r>
    </w:p>
    <w:p w14:paraId="6593D0D3" w14:textId="77777777" w:rsidR="00655B7E" w:rsidRDefault="00000000">
      <w:pPr>
        <w:spacing w:before="80" w:after="80"/>
      </w:pPr>
      <w:r>
        <w:t>Prospects are not added to Team Hue. They would see each other's aggregate data, which is not appropriate. Instead, prospects follow this sequence:</w:t>
      </w:r>
    </w:p>
    <w:p w14:paraId="72BF0E55" w14:textId="77777777" w:rsidR="00655B7E" w:rsidRDefault="00655B7E">
      <w:pPr>
        <w:spacing w:before="80"/>
      </w:pPr>
    </w:p>
    <w:p w14:paraId="2695D15C" w14:textId="77777777" w:rsidR="00655B7E" w:rsidRDefault="00000000">
      <w:pPr>
        <w:pStyle w:val="ListParagraph"/>
        <w:numPr>
          <w:ilvl w:val="0"/>
          <w:numId w:val="2"/>
        </w:numPr>
        <w:spacing w:before="40" w:after="40"/>
      </w:pPr>
      <w:r>
        <w:t>Prospect receives the individual beta link and completes their own assessment.</w:t>
      </w:r>
    </w:p>
    <w:p w14:paraId="5C8D8146" w14:textId="77777777" w:rsidR="00655B7E" w:rsidRDefault="00000000">
      <w:pPr>
        <w:pStyle w:val="ListParagraph"/>
        <w:numPr>
          <w:ilvl w:val="0"/>
          <w:numId w:val="2"/>
        </w:numPr>
        <w:spacing w:before="40" w:after="40"/>
      </w:pPr>
      <w:r>
        <w:t xml:space="preserve">You show them the Team Hue Demo dashboard in a direct conversation — you control the </w:t>
      </w:r>
      <w:proofErr w:type="gramStart"/>
      <w:r>
        <w:t>reveal,</w:t>
      </w:r>
      <w:proofErr w:type="gramEnd"/>
      <w:r>
        <w:t xml:space="preserve"> you narrate what the data means.</w:t>
      </w:r>
    </w:p>
    <w:p w14:paraId="3BA545E1" w14:textId="77777777" w:rsidR="00655B7E" w:rsidRDefault="00000000">
      <w:pPr>
        <w:pStyle w:val="ListParagraph"/>
        <w:numPr>
          <w:ilvl w:val="0"/>
          <w:numId w:val="2"/>
        </w:numPr>
        <w:spacing w:before="40" w:after="40"/>
      </w:pPr>
      <w:r>
        <w:t>If there is genuine purchase intent, the next step is a prospect pilot (see below).</w:t>
      </w:r>
    </w:p>
    <w:p w14:paraId="4E768E59" w14:textId="77777777" w:rsidR="00655B7E" w:rsidRDefault="00655B7E">
      <w:pPr>
        <w:spacing w:before="80"/>
      </w:pPr>
    </w:p>
    <w:p w14:paraId="353FBC5B" w14:textId="77777777" w:rsidR="00655B7E" w:rsidRDefault="00000000">
      <w:pPr>
        <w:spacing w:before="200" w:after="40"/>
      </w:pPr>
      <w:r>
        <w:rPr>
          <w:b/>
          <w:bCs/>
          <w:caps/>
          <w:color w:val="888888"/>
          <w:sz w:val="20"/>
          <w:szCs w:val="20"/>
        </w:rPr>
        <w:t>What to ask of Team Hue members</w:t>
      </w:r>
    </w:p>
    <w:p w14:paraId="6929C899" w14:textId="77777777" w:rsidR="00655B7E" w:rsidRDefault="00000000">
      <w:pPr>
        <w:pStyle w:val="ListParagraph"/>
        <w:numPr>
          <w:ilvl w:val="0"/>
          <w:numId w:val="2"/>
        </w:numPr>
        <w:spacing w:before="40" w:after="40"/>
      </w:pPr>
      <w:r>
        <w:t>Does the constellation give an accurate picture of how this team tends to show up?</w:t>
      </w:r>
    </w:p>
    <w:p w14:paraId="030171BF" w14:textId="77777777" w:rsidR="00655B7E" w:rsidRDefault="00000000">
      <w:pPr>
        <w:pStyle w:val="ListParagraph"/>
        <w:numPr>
          <w:ilvl w:val="0"/>
          <w:numId w:val="2"/>
        </w:numPr>
        <w:spacing w:before="40" w:after="40"/>
      </w:pPr>
      <w:r>
        <w:t>What would a team lead or People Director make of this data? What questions would it raise for them?</w:t>
      </w:r>
    </w:p>
    <w:p w14:paraId="69756FE5" w14:textId="77777777" w:rsidR="00655B7E" w:rsidRDefault="00000000">
      <w:pPr>
        <w:pStyle w:val="ListParagraph"/>
        <w:numPr>
          <w:ilvl w:val="0"/>
          <w:numId w:val="2"/>
        </w:numPr>
        <w:spacing w:before="40" w:after="40"/>
      </w:pPr>
      <w:r>
        <w:t>What feels missing from the team layer at this stage?</w:t>
      </w:r>
    </w:p>
    <w:p w14:paraId="59529748" w14:textId="77777777" w:rsidR="00655B7E" w:rsidRDefault="00000000">
      <w:pPr>
        <w:pStyle w:val="ListParagraph"/>
        <w:numPr>
          <w:ilvl w:val="0"/>
          <w:numId w:val="2"/>
        </w:numPr>
        <w:spacing w:before="40" w:after="40"/>
      </w:pPr>
      <w:r>
        <w:t>Is there anything in the product — language, framing, observations — that would give a psychologist or serious practitioner pause?</w:t>
      </w:r>
    </w:p>
    <w:p w14:paraId="508295FF" w14:textId="77777777" w:rsidR="00655B7E" w:rsidRDefault="00655B7E">
      <w:pPr>
        <w:spacing w:before="160"/>
      </w:pPr>
    </w:p>
    <w:p w14:paraId="3CC1469B" w14:textId="77777777" w:rsidR="00655B7E" w:rsidRDefault="00000000">
      <w:pPr>
        <w:pStyle w:val="Heading1"/>
      </w:pPr>
      <w:r>
        <w:lastRenderedPageBreak/>
        <w:t>Prospect Pilot — Paid Entry Point</w:t>
      </w:r>
    </w:p>
    <w:p w14:paraId="5DBE8285" w14:textId="77777777" w:rsidR="00655B7E" w:rsidRDefault="00000000">
      <w:pPr>
        <w:spacing w:before="80" w:after="80"/>
      </w:pPr>
      <w:r>
        <w:t xml:space="preserve">A prospect who has experienced their own individual profile and seen your Team Hue Demo is warm. But the conversion moment — what </w:t>
      </w:r>
      <w:proofErr w:type="gramStart"/>
      <w:r>
        <w:t>actually tips</w:t>
      </w:r>
      <w:proofErr w:type="gramEnd"/>
      <w:r>
        <w:t xml:space="preserve"> a sceptic — is their own team going through the reveal together. That experience cannot be faked or shown from the outside.</w:t>
      </w:r>
    </w:p>
    <w:p w14:paraId="70A21CD4" w14:textId="77777777" w:rsidR="00655B7E" w:rsidRDefault="00655B7E">
      <w:pPr>
        <w:spacing w:before="80"/>
      </w:pPr>
    </w:p>
    <w:p w14:paraId="1638DC2A" w14:textId="77777777" w:rsidR="00655B7E" w:rsidRDefault="00000000">
      <w:pPr>
        <w:spacing w:before="80" w:after="80"/>
      </w:pPr>
      <w:r>
        <w:t>A small paid pilot gets them inside that moment without requiring a full procurement decision.</w:t>
      </w:r>
    </w:p>
    <w:p w14:paraId="1E630782" w14:textId="77777777" w:rsidR="00655B7E" w:rsidRDefault="00655B7E">
      <w:pPr>
        <w:spacing w:before="80"/>
      </w:pPr>
    </w:p>
    <w:p w14:paraId="5823CE4E" w14:textId="77777777" w:rsidR="00655B7E" w:rsidRDefault="00000000">
      <w:pPr>
        <w:spacing w:before="200" w:after="40"/>
      </w:pPr>
      <w:r>
        <w:rPr>
          <w:b/>
          <w:bCs/>
          <w:caps/>
          <w:color w:val="888888"/>
          <w:sz w:val="20"/>
          <w:szCs w:val="20"/>
        </w:rPr>
        <w:t>Structure</w:t>
      </w:r>
    </w:p>
    <w:p w14:paraId="70AE7C7F" w14:textId="77777777" w:rsidR="00655B7E" w:rsidRDefault="00000000">
      <w:pPr>
        <w:pStyle w:val="ListParagraph"/>
        <w:numPr>
          <w:ilvl w:val="0"/>
          <w:numId w:val="2"/>
        </w:numPr>
        <w:spacing w:before="40" w:after="40"/>
      </w:pPr>
      <w:r>
        <w:t>Up to 10 seats, 30 days.</w:t>
      </w:r>
    </w:p>
    <w:p w14:paraId="70EAFF22" w14:textId="77777777" w:rsidR="00655B7E" w:rsidRDefault="00000000">
      <w:pPr>
        <w:pStyle w:val="ListParagraph"/>
        <w:numPr>
          <w:ilvl w:val="0"/>
          <w:numId w:val="2"/>
        </w:numPr>
        <w:spacing w:before="40" w:after="40"/>
      </w:pPr>
      <w:r>
        <w:t>Flat fee of £200–300. Simple — not a per-seat-per-month calculation.</w:t>
      </w:r>
    </w:p>
    <w:p w14:paraId="024AA3E1" w14:textId="77777777" w:rsidR="00655B7E" w:rsidRDefault="00000000">
      <w:pPr>
        <w:pStyle w:val="ListParagraph"/>
        <w:numPr>
          <w:ilvl w:val="0"/>
          <w:numId w:val="2"/>
        </w:numPr>
        <w:spacing w:before="40" w:after="40"/>
      </w:pPr>
      <w:r>
        <w:t>Low enough to come from a discretionary budget without sign-off.</w:t>
      </w:r>
    </w:p>
    <w:p w14:paraId="047DB134" w14:textId="77777777" w:rsidR="00655B7E" w:rsidRDefault="00000000">
      <w:pPr>
        <w:pStyle w:val="ListParagraph"/>
        <w:numPr>
          <w:ilvl w:val="0"/>
          <w:numId w:val="2"/>
        </w:numPr>
        <w:spacing w:before="40" w:after="40"/>
      </w:pPr>
      <w:r>
        <w:t>Pilot fee credited against first year contract if they convert.</w:t>
      </w:r>
    </w:p>
    <w:p w14:paraId="6503CFCA" w14:textId="77777777" w:rsidR="00655B7E" w:rsidRDefault="00655B7E">
      <w:pPr>
        <w:spacing w:before="80"/>
      </w:pPr>
    </w:p>
    <w:p w14:paraId="5E47562F" w14:textId="77777777" w:rsidR="00655B7E" w:rsidRDefault="00000000">
      <w:pPr>
        <w:spacing w:before="200" w:after="40"/>
      </w:pPr>
      <w:r>
        <w:rPr>
          <w:b/>
          <w:bCs/>
          <w:caps/>
          <w:color w:val="888888"/>
          <w:sz w:val="20"/>
          <w:szCs w:val="20"/>
        </w:rPr>
        <w:t>What the pilot contains</w:t>
      </w:r>
    </w:p>
    <w:p w14:paraId="71C22383" w14:textId="77777777" w:rsidR="00655B7E" w:rsidRDefault="00000000">
      <w:pPr>
        <w:pStyle w:val="ListParagraph"/>
        <w:numPr>
          <w:ilvl w:val="0"/>
          <w:numId w:val="2"/>
        </w:numPr>
        <w:spacing w:before="40" w:after="40"/>
      </w:pPr>
      <w:r>
        <w:t>Everyone completes their individual assessment.</w:t>
      </w:r>
    </w:p>
    <w:p w14:paraId="3FD93BA5" w14:textId="77777777" w:rsidR="00655B7E" w:rsidRDefault="00000000">
      <w:pPr>
        <w:pStyle w:val="ListParagraph"/>
        <w:numPr>
          <w:ilvl w:val="0"/>
          <w:numId w:val="2"/>
        </w:numPr>
        <w:spacing w:before="40" w:after="40"/>
      </w:pPr>
      <w:r>
        <w:t>The buyer watches the team constellation build in real time as profiles complete.</w:t>
      </w:r>
    </w:p>
    <w:p w14:paraId="0BD207E1" w14:textId="77777777" w:rsidR="00655B7E" w:rsidRDefault="00000000">
      <w:pPr>
        <w:pStyle w:val="ListParagraph"/>
        <w:numPr>
          <w:ilvl w:val="0"/>
          <w:numId w:val="2"/>
        </w:numPr>
        <w:spacing w:before="40" w:after="40"/>
      </w:pPr>
      <w:r>
        <w:t>At 30 days, a debrief — you walk them through what the team picture shows.</w:t>
      </w:r>
    </w:p>
    <w:p w14:paraId="1384FB89" w14:textId="77777777" w:rsidR="00655B7E" w:rsidRDefault="00000000">
      <w:pPr>
        <w:pStyle w:val="ListParagraph"/>
        <w:numPr>
          <w:ilvl w:val="0"/>
          <w:numId w:val="2"/>
        </w:numPr>
        <w:spacing w:before="40" w:after="40"/>
      </w:pPr>
      <w:r>
        <w:t>The debrief is the close. If the product has worked, the conversation is not 'will we buy this' — it is 'how many seats do we need.'</w:t>
      </w:r>
    </w:p>
    <w:p w14:paraId="6FB28478" w14:textId="77777777" w:rsidR="00655B7E" w:rsidRDefault="00655B7E">
      <w:pPr>
        <w:spacing w:before="80"/>
      </w:pPr>
    </w:p>
    <w:p w14:paraId="2E90D74C" w14:textId="77777777" w:rsidR="00655B7E" w:rsidRDefault="00000000">
      <w:pPr>
        <w:spacing w:before="200" w:after="40"/>
      </w:pPr>
      <w:r>
        <w:rPr>
          <w:b/>
          <w:bCs/>
          <w:caps/>
          <w:color w:val="888888"/>
          <w:sz w:val="20"/>
          <w:szCs w:val="20"/>
        </w:rPr>
        <w:t>Why paid matters</w:t>
      </w:r>
    </w:p>
    <w:p w14:paraId="05A04113" w14:textId="77777777" w:rsidR="00655B7E" w:rsidRDefault="00000000">
      <w:pPr>
        <w:spacing w:before="80" w:after="80"/>
      </w:pPr>
      <w:r>
        <w:t>Paid means committed. A prospect who pays £200 for a pilot is not casually curious — they have skin in the game. The amount is low enough not to need budget approval but high enough to signal intent. It also establishes from the outset that Hue has commercial value, which shapes how the team experience is received.</w:t>
      </w:r>
    </w:p>
    <w:p w14:paraId="6FED2DCC" w14:textId="77777777" w:rsidR="00655B7E" w:rsidRDefault="00655B7E">
      <w:pPr>
        <w:spacing w:before="160"/>
      </w:pPr>
    </w:p>
    <w:p w14:paraId="7902D847" w14:textId="77777777" w:rsidR="00655B7E" w:rsidRDefault="00000000">
      <w:pPr>
        <w:pStyle w:val="Heading1"/>
      </w:pPr>
      <w:r>
        <w:t>Timeline — Weeks Not Months</w:t>
      </w:r>
    </w:p>
    <w:p w14:paraId="7D300EA8" w14:textId="77777777" w:rsidR="00655B7E" w:rsidRDefault="00000000">
      <w:pPr>
        <w:spacing w:before="80" w:after="80"/>
      </w:pPr>
      <w:r>
        <w:t>The testing programme is designed to generate usable signal within four to six weeks. The structure below assumes a rolling start — cohorts do not need to begin simultaneously.</w:t>
      </w:r>
    </w:p>
    <w:p w14:paraId="37AF2E68" w14:textId="77777777" w:rsidR="00655B7E" w:rsidRDefault="00655B7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710"/>
      </w:tblGrid>
      <w:tr w:rsidR="00655B7E" w14:paraId="6CFBBD4B" w14:textId="77777777">
        <w:tblPrEx>
          <w:tblCellMar>
            <w:top w:w="0" w:type="dxa"/>
            <w:bottom w:w="0" w:type="dxa"/>
          </w:tblCellMar>
        </w:tblPrEx>
        <w:tc>
          <w:tcPr>
            <w:tcW w:w="1928" w:type="dxa"/>
            <w:tcBorders>
              <w:top w:val="single" w:sz="1" w:space="0" w:color="E0E0E0"/>
              <w:left w:val="single" w:sz="1" w:space="0" w:color="E0E0E0"/>
              <w:bottom w:val="single" w:sz="1" w:space="0" w:color="E0E0E0"/>
              <w:right w:val="single" w:sz="1" w:space="0" w:color="E0E0E0"/>
            </w:tcBorders>
            <w:shd w:val="clear" w:color="auto" w:fill="F0F0F0"/>
            <w:tcMar>
              <w:top w:w="80" w:type="dxa"/>
              <w:left w:w="120" w:type="dxa"/>
              <w:bottom w:w="80" w:type="dxa"/>
              <w:right w:w="120" w:type="dxa"/>
            </w:tcMar>
          </w:tcPr>
          <w:p w14:paraId="56940A7F" w14:textId="77777777" w:rsidR="00655B7E" w:rsidRDefault="00000000">
            <w:pPr>
              <w:spacing w:before="40" w:after="40"/>
            </w:pPr>
            <w:r>
              <w:rPr>
                <w:b/>
                <w:bCs/>
                <w:sz w:val="20"/>
                <w:szCs w:val="20"/>
              </w:rPr>
              <w:t>Week</w:t>
            </w:r>
          </w:p>
        </w:tc>
        <w:tc>
          <w:tcPr>
            <w:tcW w:w="7710" w:type="dxa"/>
            <w:tcBorders>
              <w:top w:val="single" w:sz="1" w:space="0" w:color="E0E0E0"/>
              <w:left w:val="single" w:sz="1" w:space="0" w:color="E0E0E0"/>
              <w:bottom w:val="single" w:sz="1" w:space="0" w:color="E0E0E0"/>
              <w:right w:val="single" w:sz="1" w:space="0" w:color="E0E0E0"/>
            </w:tcBorders>
            <w:shd w:val="clear" w:color="auto" w:fill="F0F0F0"/>
            <w:tcMar>
              <w:top w:w="80" w:type="dxa"/>
              <w:left w:w="120" w:type="dxa"/>
              <w:bottom w:w="80" w:type="dxa"/>
              <w:right w:w="120" w:type="dxa"/>
            </w:tcMar>
          </w:tcPr>
          <w:p w14:paraId="08638541" w14:textId="77777777" w:rsidR="00655B7E" w:rsidRDefault="00000000">
            <w:pPr>
              <w:spacing w:before="40" w:after="40"/>
            </w:pPr>
            <w:r>
              <w:rPr>
                <w:b/>
                <w:bCs/>
                <w:sz w:val="20"/>
                <w:szCs w:val="20"/>
              </w:rPr>
              <w:t>Activity</w:t>
            </w:r>
          </w:p>
        </w:tc>
      </w:tr>
      <w:tr w:rsidR="00655B7E" w14:paraId="60A0B0D0" w14:textId="77777777">
        <w:tblPrEx>
          <w:tblCellMar>
            <w:top w:w="0" w:type="dxa"/>
            <w:bottom w:w="0" w:type="dxa"/>
          </w:tblCellMar>
        </w:tblPrEx>
        <w:tc>
          <w:tcPr>
            <w:tcW w:w="1928"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099C64F" w14:textId="77777777" w:rsidR="00655B7E" w:rsidRDefault="00000000">
            <w:pPr>
              <w:spacing w:before="40" w:after="40"/>
            </w:pPr>
            <w:r>
              <w:rPr>
                <w:sz w:val="20"/>
                <w:szCs w:val="20"/>
              </w:rPr>
              <w:t>Week 1</w:t>
            </w:r>
          </w:p>
        </w:tc>
        <w:tc>
          <w:tcPr>
            <w:tcW w:w="771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6597314" w14:textId="77777777" w:rsidR="00655B7E" w:rsidRDefault="00000000">
            <w:pPr>
              <w:spacing w:before="40" w:after="40"/>
            </w:pPr>
            <w:r>
              <w:rPr>
                <w:sz w:val="20"/>
                <w:szCs w:val="20"/>
              </w:rPr>
              <w:t>Get everyone in. TCMG already set up. Individual beta testers: add emails, send registration link. Team Hue: invite via org flow. No new technical flows required.</w:t>
            </w:r>
          </w:p>
        </w:tc>
      </w:tr>
      <w:tr w:rsidR="00655B7E" w14:paraId="2CAD2521" w14:textId="77777777">
        <w:tblPrEx>
          <w:tblCellMar>
            <w:top w:w="0" w:type="dxa"/>
            <w:bottom w:w="0" w:type="dxa"/>
          </w:tblCellMar>
        </w:tblPrEx>
        <w:tc>
          <w:tcPr>
            <w:tcW w:w="1928"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FAC00CB" w14:textId="77777777" w:rsidR="00655B7E" w:rsidRDefault="00000000">
            <w:pPr>
              <w:spacing w:before="40" w:after="40"/>
            </w:pPr>
            <w:r>
              <w:rPr>
                <w:sz w:val="20"/>
                <w:szCs w:val="20"/>
              </w:rPr>
              <w:t>Week 2</w:t>
            </w:r>
          </w:p>
        </w:tc>
        <w:tc>
          <w:tcPr>
            <w:tcW w:w="771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4A72E6E" w14:textId="77777777" w:rsidR="00655B7E" w:rsidRDefault="00000000">
            <w:pPr>
              <w:spacing w:before="40" w:after="40"/>
            </w:pPr>
            <w:r>
              <w:rPr>
                <w:sz w:val="20"/>
                <w:szCs w:val="20"/>
              </w:rPr>
              <w:t>Structured conversations, not forms. 30 minutes per cohort: TCMG as a group, individuals one-to-one or in pairs, Team Hue as a group. Use the questions above. Let it be a conversation.</w:t>
            </w:r>
          </w:p>
        </w:tc>
      </w:tr>
      <w:tr w:rsidR="00655B7E" w14:paraId="177F8324" w14:textId="77777777">
        <w:tblPrEx>
          <w:tblCellMar>
            <w:top w:w="0" w:type="dxa"/>
            <w:bottom w:w="0" w:type="dxa"/>
          </w:tblCellMar>
        </w:tblPrEx>
        <w:tc>
          <w:tcPr>
            <w:tcW w:w="1928"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9761D70" w14:textId="77777777" w:rsidR="00655B7E" w:rsidRDefault="00000000">
            <w:pPr>
              <w:spacing w:before="40" w:after="40"/>
            </w:pPr>
            <w:r>
              <w:rPr>
                <w:sz w:val="20"/>
                <w:szCs w:val="20"/>
              </w:rPr>
              <w:t>Week 3</w:t>
            </w:r>
          </w:p>
        </w:tc>
        <w:tc>
          <w:tcPr>
            <w:tcW w:w="771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353F8E1" w14:textId="77777777" w:rsidR="00655B7E" w:rsidRDefault="00000000">
            <w:pPr>
              <w:spacing w:before="40" w:after="40"/>
            </w:pPr>
            <w:r>
              <w:rPr>
                <w:sz w:val="20"/>
                <w:szCs w:val="20"/>
              </w:rPr>
              <w:t>Pattern read across all cohorts. Three questions: (1) Does the profile feel accurate? (2) Does the language feel like description not label? (3) Would they bring someone else in? Consistent answers are signal worth acting on immediately.</w:t>
            </w:r>
          </w:p>
        </w:tc>
      </w:tr>
      <w:tr w:rsidR="00655B7E" w14:paraId="21367379" w14:textId="77777777">
        <w:tblPrEx>
          <w:tblCellMar>
            <w:top w:w="0" w:type="dxa"/>
            <w:bottom w:w="0" w:type="dxa"/>
          </w:tblCellMar>
        </w:tblPrEx>
        <w:tc>
          <w:tcPr>
            <w:tcW w:w="1928"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1D6C6C9" w14:textId="77777777" w:rsidR="00655B7E" w:rsidRDefault="00000000">
            <w:pPr>
              <w:spacing w:before="40" w:after="40"/>
            </w:pPr>
            <w:r>
              <w:rPr>
                <w:sz w:val="20"/>
                <w:szCs w:val="20"/>
              </w:rPr>
              <w:t>Week 4+</w:t>
            </w:r>
          </w:p>
        </w:tc>
        <w:tc>
          <w:tcPr>
            <w:tcW w:w="771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794C42A" w14:textId="77777777" w:rsidR="00655B7E" w:rsidRDefault="00000000">
            <w:pPr>
              <w:spacing w:before="40" w:after="40"/>
            </w:pPr>
            <w:r>
              <w:rPr>
                <w:sz w:val="20"/>
                <w:szCs w:val="20"/>
              </w:rPr>
              <w:t>Prospect pilot conversations where there is genuine interest. Individual beta remains open until there is enough signal on conversion intent and willingness to pay.</w:t>
            </w:r>
          </w:p>
        </w:tc>
      </w:tr>
    </w:tbl>
    <w:p w14:paraId="40F8B84E" w14:textId="77777777" w:rsidR="00655B7E" w:rsidRDefault="00655B7E">
      <w:pPr>
        <w:spacing w:before="160"/>
      </w:pPr>
    </w:p>
    <w:p w14:paraId="20C36FE4" w14:textId="77777777" w:rsidR="00655B7E" w:rsidRDefault="00000000">
      <w:pPr>
        <w:spacing w:before="200" w:after="40"/>
      </w:pPr>
      <w:r>
        <w:rPr>
          <w:b/>
          <w:bCs/>
          <w:caps/>
          <w:color w:val="888888"/>
          <w:sz w:val="20"/>
          <w:szCs w:val="20"/>
        </w:rPr>
        <w:lastRenderedPageBreak/>
        <w:t>Important sequencing note</w:t>
      </w:r>
    </w:p>
    <w:p w14:paraId="04A8325B" w14:textId="77777777" w:rsidR="00655B7E" w:rsidRDefault="00000000">
      <w:pPr>
        <w:spacing w:before="80" w:after="80"/>
      </w:pPr>
      <w:r>
        <w:t>Run TCMG first — even one week ahead of the other cohorts. They are the most expert observers. Any obvious issues caught at the TCMG stage are resolved before they reach individual testers who have no context to compensate for them.</w:t>
      </w:r>
    </w:p>
    <w:p w14:paraId="43A08D33" w14:textId="77777777" w:rsidR="00655B7E" w:rsidRDefault="00655B7E">
      <w:pPr>
        <w:spacing w:before="160"/>
      </w:pPr>
    </w:p>
    <w:p w14:paraId="0155A397" w14:textId="77777777" w:rsidR="00655B7E" w:rsidRDefault="00000000">
      <w:pPr>
        <w:pStyle w:val="Heading1"/>
      </w:pPr>
      <w:r>
        <w:t>What Good Signal Looks Like</w:t>
      </w:r>
    </w:p>
    <w:p w14:paraId="4D7184F6" w14:textId="77777777" w:rsidR="00655B7E" w:rsidRDefault="00000000">
      <w:pPr>
        <w:spacing w:before="80" w:after="80"/>
      </w:pPr>
      <w:r>
        <w:t>Not everything testers say is equally useful. The highest-value feedback falls into four categories.</w:t>
      </w:r>
    </w:p>
    <w:p w14:paraId="1706B88C" w14:textId="77777777" w:rsidR="00655B7E" w:rsidRDefault="00655B7E">
      <w:pPr>
        <w:spacing w:before="80"/>
      </w:pPr>
    </w:p>
    <w:p w14:paraId="77E2965E" w14:textId="77777777" w:rsidR="00655B7E" w:rsidRDefault="00000000">
      <w:pPr>
        <w:pStyle w:val="Heading3"/>
      </w:pPr>
      <w:r>
        <w:t>Recognition moments</w:t>
      </w:r>
    </w:p>
    <w:p w14:paraId="4AAF873D" w14:textId="77777777" w:rsidR="00655B7E" w:rsidRDefault="00000000">
      <w:pPr>
        <w:spacing w:before="80" w:after="80"/>
      </w:pPr>
      <w:r>
        <w:t xml:space="preserve">When someone </w:t>
      </w:r>
      <w:proofErr w:type="gramStart"/>
      <w:r>
        <w:t>says</w:t>
      </w:r>
      <w:proofErr w:type="gramEnd"/>
      <w:r>
        <w:t xml:space="preserve"> 'how did it know that?' or 'that's exactly right' without being prompted — that is the core product working. Capture every instance. These become testimonials.</w:t>
      </w:r>
    </w:p>
    <w:p w14:paraId="4AE40900" w14:textId="77777777" w:rsidR="00655B7E" w:rsidRDefault="00655B7E">
      <w:pPr>
        <w:spacing w:before="80"/>
      </w:pPr>
    </w:p>
    <w:p w14:paraId="293A16AC" w14:textId="77777777" w:rsidR="00655B7E" w:rsidRDefault="00000000">
      <w:pPr>
        <w:pStyle w:val="Heading3"/>
      </w:pPr>
      <w:r>
        <w:t>Language flags</w:t>
      </w:r>
    </w:p>
    <w:p w14:paraId="34849DE0" w14:textId="77777777" w:rsidR="00655B7E" w:rsidRDefault="00000000">
      <w:pPr>
        <w:spacing w:before="80" w:after="80"/>
      </w:pPr>
      <w:r>
        <w:t>Any moment where a tester says the profile felt like a box they were put in, or where the language felt definitive rather than descriptive, is critical. Hue is built to break the labelling model. Failure here is a fundamental product issue, not a cosmetic one.</w:t>
      </w:r>
    </w:p>
    <w:p w14:paraId="5EA96899" w14:textId="77777777" w:rsidR="00655B7E" w:rsidRDefault="00655B7E">
      <w:pPr>
        <w:spacing w:before="80"/>
      </w:pPr>
    </w:p>
    <w:p w14:paraId="241EA7B3" w14:textId="77777777" w:rsidR="00655B7E" w:rsidRDefault="00000000">
      <w:pPr>
        <w:pStyle w:val="Heading3"/>
      </w:pPr>
      <w:r>
        <w:t>Sharing intent</w:t>
      </w:r>
    </w:p>
    <w:p w14:paraId="47144A01" w14:textId="77777777" w:rsidR="00655B7E" w:rsidRDefault="00000000">
      <w:pPr>
        <w:spacing w:before="80" w:after="80"/>
      </w:pPr>
      <w:r>
        <w:t>Whether testers would share their profile unprompted — and with whom — is the leading indicator of organic growth. If individual testers with no colour model background naturally reach for sharing, the flywheel is real.</w:t>
      </w:r>
    </w:p>
    <w:p w14:paraId="7067E93E" w14:textId="77777777" w:rsidR="00655B7E" w:rsidRDefault="00655B7E">
      <w:pPr>
        <w:spacing w:before="80"/>
      </w:pPr>
    </w:p>
    <w:p w14:paraId="5D6BEA68" w14:textId="77777777" w:rsidR="00655B7E" w:rsidRDefault="00000000">
      <w:pPr>
        <w:pStyle w:val="Heading3"/>
      </w:pPr>
      <w:r>
        <w:t>Willingness to pay</w:t>
      </w:r>
    </w:p>
    <w:p w14:paraId="100C6D6D" w14:textId="77777777" w:rsidR="00655B7E" w:rsidRDefault="00000000">
      <w:pPr>
        <w:spacing w:before="80" w:after="80"/>
      </w:pPr>
      <w:r>
        <w:t>Ask it directly. Not 'would you subscribe?' but 'if this stopped being free tomorrow, what would you do?' The honest answer to that question is the conversion signal that matters.</w:t>
      </w:r>
    </w:p>
    <w:p w14:paraId="47CEB9AD" w14:textId="77777777" w:rsidR="00655B7E" w:rsidRDefault="00655B7E">
      <w:pPr>
        <w:spacing w:before="160"/>
      </w:pPr>
    </w:p>
    <w:p w14:paraId="60B5FBD6" w14:textId="77777777" w:rsidR="00655B7E" w:rsidRDefault="00655B7E">
      <w:pPr>
        <w:pBdr>
          <w:bottom w:val="single" w:sz="4" w:space="1" w:color="E0E0E0"/>
        </w:pBdr>
        <w:spacing w:before="200" w:after="200"/>
      </w:pPr>
    </w:p>
    <w:p w14:paraId="408B205A" w14:textId="77777777" w:rsidR="00655B7E" w:rsidRDefault="00000000">
      <w:pPr>
        <w:spacing w:before="60" w:after="60"/>
      </w:pPr>
      <w:r>
        <w:rPr>
          <w:i/>
          <w:iCs/>
          <w:color w:val="888888"/>
          <w:sz w:val="20"/>
          <w:szCs w:val="20"/>
        </w:rPr>
        <w:t>Hue AI — Beta Test Strategy · April 2026 · Confidential · Part of The Change Maker Group ecosystem. IP belongs to Simon Phillips.</w:t>
      </w:r>
    </w:p>
    <w:sectPr w:rsidR="00655B7E" w:rsidSect="000D5A1B">
      <w:footerReference w:type="default" r:id="rId7"/>
      <w:pgSz w:w="11900" w:h="1682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D3DAE" w14:textId="77777777" w:rsidR="00B70592" w:rsidRDefault="00B70592">
      <w:r>
        <w:separator/>
      </w:r>
    </w:p>
  </w:endnote>
  <w:endnote w:type="continuationSeparator" w:id="0">
    <w:p w14:paraId="142A6924" w14:textId="77777777" w:rsidR="00B70592" w:rsidRDefault="00B70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06D3" w14:textId="77777777" w:rsidR="00655B7E" w:rsidRDefault="00000000">
    <w:pPr>
      <w:spacing w:before="120"/>
    </w:pPr>
    <w:r>
      <w:rPr>
        <w:color w:val="888888"/>
        <w:sz w:val="16"/>
        <w:szCs w:val="16"/>
      </w:rPr>
      <w:t xml:space="preserve">Hue AI — Beta Test Strategy    </w:t>
    </w:r>
    <w:r>
      <w:rPr>
        <w:color w:val="888888"/>
        <w:sz w:val="16"/>
        <w:szCs w:val="16"/>
      </w:rPr>
      <w:fldChar w:fldCharType="begin"/>
    </w:r>
    <w:r>
      <w:rPr>
        <w:color w:val="888888"/>
        <w:sz w:val="16"/>
        <w:szCs w:val="16"/>
      </w:rPr>
      <w:instrText>PAGE</w:instrText>
    </w:r>
    <w:r>
      <w:rPr>
        <w:color w:val="888888"/>
        <w:sz w:val="16"/>
        <w:szCs w:val="16"/>
      </w:rPr>
      <w:fldChar w:fldCharType="separate"/>
    </w:r>
    <w:r w:rsidR="000D5A1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CD0A3" w14:textId="77777777" w:rsidR="00B70592" w:rsidRDefault="00B70592">
      <w:r>
        <w:separator/>
      </w:r>
    </w:p>
  </w:footnote>
  <w:footnote w:type="continuationSeparator" w:id="0">
    <w:p w14:paraId="65C4DC51" w14:textId="77777777" w:rsidR="00B70592" w:rsidRDefault="00B705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6A90"/>
    <w:multiLevelType w:val="hybridMultilevel"/>
    <w:tmpl w:val="A6F225A4"/>
    <w:lvl w:ilvl="0" w:tplc="86ACD6BA">
      <w:start w:val="1"/>
      <w:numFmt w:val="bullet"/>
      <w:lvlText w:val="●"/>
      <w:lvlJc w:val="left"/>
      <w:pPr>
        <w:ind w:left="720" w:hanging="360"/>
      </w:pPr>
    </w:lvl>
    <w:lvl w:ilvl="1" w:tplc="45DA38EE">
      <w:start w:val="1"/>
      <w:numFmt w:val="bullet"/>
      <w:lvlText w:val="○"/>
      <w:lvlJc w:val="left"/>
      <w:pPr>
        <w:ind w:left="1440" w:hanging="360"/>
      </w:pPr>
    </w:lvl>
    <w:lvl w:ilvl="2" w:tplc="838AB120">
      <w:start w:val="1"/>
      <w:numFmt w:val="bullet"/>
      <w:lvlText w:val="■"/>
      <w:lvlJc w:val="left"/>
      <w:pPr>
        <w:ind w:left="2160" w:hanging="360"/>
      </w:pPr>
    </w:lvl>
    <w:lvl w:ilvl="3" w:tplc="A6D4932A">
      <w:start w:val="1"/>
      <w:numFmt w:val="bullet"/>
      <w:lvlText w:val="●"/>
      <w:lvlJc w:val="left"/>
      <w:pPr>
        <w:ind w:left="2880" w:hanging="360"/>
      </w:pPr>
    </w:lvl>
    <w:lvl w:ilvl="4" w:tplc="23A830CA">
      <w:start w:val="1"/>
      <w:numFmt w:val="bullet"/>
      <w:lvlText w:val="○"/>
      <w:lvlJc w:val="left"/>
      <w:pPr>
        <w:ind w:left="3600" w:hanging="360"/>
      </w:pPr>
    </w:lvl>
    <w:lvl w:ilvl="5" w:tplc="0BFE582E">
      <w:start w:val="1"/>
      <w:numFmt w:val="bullet"/>
      <w:lvlText w:val="■"/>
      <w:lvlJc w:val="left"/>
      <w:pPr>
        <w:ind w:left="4320" w:hanging="360"/>
      </w:pPr>
    </w:lvl>
    <w:lvl w:ilvl="6" w:tplc="48622F3A">
      <w:start w:val="1"/>
      <w:numFmt w:val="bullet"/>
      <w:lvlText w:val="●"/>
      <w:lvlJc w:val="left"/>
      <w:pPr>
        <w:ind w:left="5040" w:hanging="360"/>
      </w:pPr>
    </w:lvl>
    <w:lvl w:ilvl="7" w:tplc="3A22BAD4">
      <w:start w:val="1"/>
      <w:numFmt w:val="bullet"/>
      <w:lvlText w:val="●"/>
      <w:lvlJc w:val="left"/>
      <w:pPr>
        <w:ind w:left="5760" w:hanging="360"/>
      </w:pPr>
    </w:lvl>
    <w:lvl w:ilvl="8" w:tplc="C534E190">
      <w:start w:val="1"/>
      <w:numFmt w:val="bullet"/>
      <w:lvlText w:val="●"/>
      <w:lvlJc w:val="left"/>
      <w:pPr>
        <w:ind w:left="6480" w:hanging="360"/>
      </w:pPr>
    </w:lvl>
  </w:abstractNum>
  <w:abstractNum w:abstractNumId="1" w15:restartNumberingAfterBreak="0">
    <w:nsid w:val="359563EF"/>
    <w:multiLevelType w:val="hybridMultilevel"/>
    <w:tmpl w:val="48D2F916"/>
    <w:lvl w:ilvl="0" w:tplc="8B723468">
      <w:start w:val="1"/>
      <w:numFmt w:val="bullet"/>
      <w:lvlText w:val="–"/>
      <w:lvlJc w:val="left"/>
      <w:pPr>
        <w:ind w:left="1080" w:hanging="320"/>
      </w:pPr>
      <w:rPr>
        <w:rFonts w:ascii="Arial" w:eastAsia="Arial" w:hAnsi="Arial" w:cs="Arial"/>
        <w:color w:val="444444"/>
        <w:sz w:val="20"/>
        <w:szCs w:val="20"/>
      </w:rPr>
    </w:lvl>
    <w:lvl w:ilvl="1" w:tplc="0A76A850">
      <w:numFmt w:val="decimal"/>
      <w:lvlText w:val=""/>
      <w:lvlJc w:val="left"/>
    </w:lvl>
    <w:lvl w:ilvl="2" w:tplc="9EBC4138">
      <w:numFmt w:val="decimal"/>
      <w:lvlText w:val=""/>
      <w:lvlJc w:val="left"/>
    </w:lvl>
    <w:lvl w:ilvl="3" w:tplc="5AB41F06">
      <w:numFmt w:val="decimal"/>
      <w:lvlText w:val=""/>
      <w:lvlJc w:val="left"/>
    </w:lvl>
    <w:lvl w:ilvl="4" w:tplc="A724AA74">
      <w:numFmt w:val="decimal"/>
      <w:lvlText w:val=""/>
      <w:lvlJc w:val="left"/>
    </w:lvl>
    <w:lvl w:ilvl="5" w:tplc="CF66F1A0">
      <w:numFmt w:val="decimal"/>
      <w:lvlText w:val=""/>
      <w:lvlJc w:val="left"/>
    </w:lvl>
    <w:lvl w:ilvl="6" w:tplc="461CED1A">
      <w:numFmt w:val="decimal"/>
      <w:lvlText w:val=""/>
      <w:lvlJc w:val="left"/>
    </w:lvl>
    <w:lvl w:ilvl="7" w:tplc="9910A378">
      <w:numFmt w:val="decimal"/>
      <w:lvlText w:val=""/>
      <w:lvlJc w:val="left"/>
    </w:lvl>
    <w:lvl w:ilvl="8" w:tplc="DC322626">
      <w:numFmt w:val="decimal"/>
      <w:lvlText w:val=""/>
      <w:lvlJc w:val="left"/>
    </w:lvl>
  </w:abstractNum>
  <w:abstractNum w:abstractNumId="2" w15:restartNumberingAfterBreak="0">
    <w:nsid w:val="470E2B5D"/>
    <w:multiLevelType w:val="hybridMultilevel"/>
    <w:tmpl w:val="9C420A0C"/>
    <w:lvl w:ilvl="0" w:tplc="D35AE1DC">
      <w:start w:val="1"/>
      <w:numFmt w:val="bullet"/>
      <w:lvlText w:val="•"/>
      <w:lvlJc w:val="left"/>
      <w:pPr>
        <w:ind w:left="640" w:hanging="320"/>
      </w:pPr>
      <w:rPr>
        <w:rFonts w:ascii="Arial" w:eastAsia="Arial" w:hAnsi="Arial" w:cs="Arial"/>
        <w:sz w:val="22"/>
        <w:szCs w:val="22"/>
      </w:rPr>
    </w:lvl>
    <w:lvl w:ilvl="1" w:tplc="67EC4B12">
      <w:numFmt w:val="decimal"/>
      <w:lvlText w:val=""/>
      <w:lvlJc w:val="left"/>
    </w:lvl>
    <w:lvl w:ilvl="2" w:tplc="5A5AAE6C">
      <w:numFmt w:val="decimal"/>
      <w:lvlText w:val=""/>
      <w:lvlJc w:val="left"/>
    </w:lvl>
    <w:lvl w:ilvl="3" w:tplc="E01084FE">
      <w:numFmt w:val="decimal"/>
      <w:lvlText w:val=""/>
      <w:lvlJc w:val="left"/>
    </w:lvl>
    <w:lvl w:ilvl="4" w:tplc="8CB8DA68">
      <w:numFmt w:val="decimal"/>
      <w:lvlText w:val=""/>
      <w:lvlJc w:val="left"/>
    </w:lvl>
    <w:lvl w:ilvl="5" w:tplc="579A3080">
      <w:numFmt w:val="decimal"/>
      <w:lvlText w:val=""/>
      <w:lvlJc w:val="left"/>
    </w:lvl>
    <w:lvl w:ilvl="6" w:tplc="27E04514">
      <w:numFmt w:val="decimal"/>
      <w:lvlText w:val=""/>
      <w:lvlJc w:val="left"/>
    </w:lvl>
    <w:lvl w:ilvl="7" w:tplc="92BEEE88">
      <w:numFmt w:val="decimal"/>
      <w:lvlText w:val=""/>
      <w:lvlJc w:val="left"/>
    </w:lvl>
    <w:lvl w:ilvl="8" w:tplc="7D3838D4">
      <w:numFmt w:val="decimal"/>
      <w:lvlText w:val=""/>
      <w:lvlJc w:val="left"/>
    </w:lvl>
  </w:abstractNum>
  <w:num w:numId="1" w16cid:durableId="1093159607">
    <w:abstractNumId w:val="0"/>
    <w:lvlOverride w:ilvl="0">
      <w:startOverride w:val="1"/>
    </w:lvlOverride>
  </w:num>
  <w:num w:numId="2" w16cid:durableId="7592568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B7E"/>
    <w:rsid w:val="000D5A1B"/>
    <w:rsid w:val="00655B7E"/>
    <w:rsid w:val="007655C6"/>
    <w:rsid w:val="00B70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3270D16"/>
  <w15:docId w15:val="{2488816A-97BF-814B-8849-556D09D2A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6"/>
      <w:szCs w:val="36"/>
    </w:rPr>
  </w:style>
  <w:style w:type="paragraph" w:styleId="Heading2">
    <w:name w:val="heading 2"/>
    <w:uiPriority w:val="9"/>
    <w:unhideWhenUsed/>
    <w:qFormat/>
    <w:pPr>
      <w:spacing w:before="300" w:after="100"/>
      <w:outlineLvl w:val="1"/>
    </w:pPr>
    <w:rPr>
      <w:b/>
      <w:bCs/>
      <w:sz w:val="26"/>
      <w:szCs w:val="26"/>
    </w:rPr>
  </w:style>
  <w:style w:type="paragraph" w:styleId="Heading3">
    <w:name w:val="heading 3"/>
    <w:uiPriority w:val="9"/>
    <w:unhideWhenUsed/>
    <w:qFormat/>
    <w:pPr>
      <w:spacing w:before="24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1445</Words>
  <Characters>8238</Characters>
  <Application>Microsoft Office Word</Application>
  <DocSecurity>0</DocSecurity>
  <Lines>68</Lines>
  <Paragraphs>19</Paragraphs>
  <ScaleCrop>false</ScaleCrop>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Phillips</cp:lastModifiedBy>
  <cp:revision>2</cp:revision>
  <cp:lastPrinted>2026-04-09T14:48:00Z</cp:lastPrinted>
  <dcterms:created xsi:type="dcterms:W3CDTF">2026-04-09T14:39:00Z</dcterms:created>
  <dcterms:modified xsi:type="dcterms:W3CDTF">2026-04-09T14:48:00Z</dcterms:modified>
</cp:coreProperties>
</file>