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Using TEDF to markdown and than cursor for engine 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lipmdf7tf04m" w:id="0"/>
      <w:bookmarkEnd w:id="0"/>
      <w:r w:rsidDel="00000000" w:rsidR="00000000" w:rsidRPr="00000000">
        <w:rPr>
          <w:color w:val="1f2328"/>
          <w:sz w:val="54"/>
          <w:szCs w:val="54"/>
          <w:rtl w:val="0"/>
        </w:rPr>
        <w:t xml:space="preserve">Engine Development Path</w:t>
      </w:r>
    </w:p>
    <w:p w:rsidR="00000000" w:rsidDel="00000000" w:rsidP="00000000" w:rsidRDefault="00000000" w:rsidRPr="00000000" w14:paraId="00000004">
      <w:pPr>
        <w:pStyle w:val="Heading3"/>
        <w:keepNext w:val="0"/>
        <w:keepLines w:val="0"/>
        <w:shd w:fill="ffffff" w:val="clear"/>
        <w:spacing w:after="240" w:before="360" w:line="300" w:lineRule="auto"/>
        <w:rPr>
          <w:color w:val="1f2328"/>
          <w:sz w:val="35"/>
          <w:szCs w:val="35"/>
        </w:rPr>
      </w:pPr>
      <w:bookmarkStart w:colFirst="0" w:colLast="0" w:name="_v2h1fcszveh5" w:id="1"/>
      <w:bookmarkEnd w:id="1"/>
      <w:r w:rsidDel="00000000" w:rsidR="00000000" w:rsidRPr="00000000">
        <w:rPr>
          <w:color w:val="1f2328"/>
          <w:sz w:val="35"/>
          <w:szCs w:val="35"/>
          <w:rtl w:val="0"/>
        </w:rPr>
        <w:t xml:space="preserve">1) Prerequisites</w:t>
      </w:r>
    </w:p>
    <w:p w:rsidR="00000000" w:rsidDel="00000000" w:rsidP="00000000" w:rsidRDefault="00000000" w:rsidRPr="00000000" w14:paraId="00000005">
      <w:pPr>
        <w:numPr>
          <w:ilvl w:val="0"/>
          <w:numId w:val="2"/>
        </w:numPr>
        <w:shd w:fill="ffffff" w:val="clear"/>
        <w:spacing w:after="0" w:afterAutospacing="0" w:lineRule="auto"/>
        <w:ind w:left="720" w:hanging="360"/>
      </w:pPr>
      <w:hyperlink r:id="rId6">
        <w:r w:rsidDel="00000000" w:rsidR="00000000" w:rsidRPr="00000000">
          <w:rPr>
            <w:color w:val="0969da"/>
            <w:sz w:val="24"/>
            <w:szCs w:val="24"/>
            <w:u w:val="single"/>
            <w:rtl w:val="0"/>
          </w:rPr>
          <w:t xml:space="preserve">.NET 10.0 SDK</w:t>
        </w:r>
      </w:hyperlink>
      <w:r w:rsidDel="00000000" w:rsidR="00000000" w:rsidRPr="00000000">
        <w:rPr>
          <w:color w:val="0969da"/>
          <w:sz w:val="24"/>
          <w:szCs w:val="24"/>
          <w:u w:val="single"/>
          <w:rtl w:val="0"/>
        </w:rPr>
        <w:t xml:space="preserve"> </w:t>
      </w:r>
    </w:p>
    <w:p w:rsidR="00000000" w:rsidDel="00000000" w:rsidP="00000000" w:rsidRDefault="00000000" w:rsidRPr="00000000" w14:paraId="00000006">
      <w:pPr>
        <w:numPr>
          <w:ilvl w:val="0"/>
          <w:numId w:val="2"/>
        </w:numPr>
        <w:shd w:fill="ffffff" w:val="clear"/>
        <w:spacing w:after="0" w:afterAutospacing="0" w:before="0" w:beforeAutospacing="0" w:lineRule="auto"/>
        <w:ind w:left="720" w:hanging="360"/>
      </w:pPr>
      <w:hyperlink r:id="rId7">
        <w:r w:rsidDel="00000000" w:rsidR="00000000" w:rsidRPr="00000000">
          <w:rPr>
            <w:color w:val="1155cc"/>
            <w:sz w:val="24"/>
            <w:szCs w:val="24"/>
            <w:u w:val="single"/>
            <w:rtl w:val="0"/>
          </w:rPr>
          <w:t xml:space="preserve">Git (OSS)</w:t>
        </w:r>
      </w:hyperlink>
      <w:r w:rsidDel="00000000" w:rsidR="00000000" w:rsidRPr="00000000">
        <w:rPr>
          <w:color w:val="0969da"/>
          <w:sz w:val="24"/>
          <w:szCs w:val="24"/>
          <w:u w:val="single"/>
          <w:rtl w:val="0"/>
        </w:rPr>
        <w:t xml:space="preserve"> https://github.com/trimble-oss</w:t>
      </w:r>
    </w:p>
    <w:p w:rsidR="00000000" w:rsidDel="00000000" w:rsidP="00000000" w:rsidRDefault="00000000" w:rsidRPr="00000000" w14:paraId="00000007">
      <w:pPr>
        <w:numPr>
          <w:ilvl w:val="1"/>
          <w:numId w:val="2"/>
        </w:numPr>
        <w:shd w:fill="ffffff" w:val="clear"/>
        <w:spacing w:after="0" w:afterAutospacing="0" w:before="0" w:beforeAutospacing="0" w:lineRule="auto"/>
        <w:ind w:left="1440" w:hanging="360"/>
        <w:rPr>
          <w:color w:val="0969da"/>
          <w:sz w:val="24"/>
          <w:szCs w:val="24"/>
          <w:u w:val="none"/>
        </w:rPr>
      </w:pPr>
      <w:r w:rsidDel="00000000" w:rsidR="00000000" w:rsidRPr="00000000">
        <w:rPr>
          <w:color w:val="0969da"/>
          <w:sz w:val="24"/>
          <w:szCs w:val="24"/>
          <w:u w:val="single"/>
          <w:rtl w:val="0"/>
        </w:rPr>
        <w:t xml:space="preserve">Production Environments </w:t>
      </w:r>
    </w:p>
    <w:p w:rsidR="00000000" w:rsidDel="00000000" w:rsidP="00000000" w:rsidRDefault="00000000" w:rsidRPr="00000000" w14:paraId="00000008">
      <w:pPr>
        <w:numPr>
          <w:ilvl w:val="1"/>
          <w:numId w:val="2"/>
        </w:numPr>
        <w:shd w:fill="ffffff" w:val="clear"/>
        <w:spacing w:after="0" w:afterAutospacing="0" w:before="0" w:beforeAutospacing="0" w:lineRule="auto"/>
        <w:ind w:left="1440" w:hanging="360"/>
        <w:rPr>
          <w:color w:val="0969da"/>
          <w:sz w:val="24"/>
          <w:szCs w:val="24"/>
          <w:u w:val="none"/>
        </w:rPr>
      </w:pPr>
      <w:r w:rsidDel="00000000" w:rsidR="00000000" w:rsidRPr="00000000">
        <w:rPr>
          <w:color w:val="0969da"/>
          <w:sz w:val="24"/>
          <w:szCs w:val="24"/>
          <w:u w:val="single"/>
          <w:rtl w:val="0"/>
        </w:rPr>
        <w:t xml:space="preserve">Production Secrets</w:t>
      </w:r>
    </w:p>
    <w:p w:rsidR="00000000" w:rsidDel="00000000" w:rsidP="00000000" w:rsidRDefault="00000000" w:rsidRPr="00000000" w14:paraId="00000009">
      <w:pPr>
        <w:numPr>
          <w:ilvl w:val="2"/>
          <w:numId w:val="2"/>
        </w:numPr>
        <w:spacing w:after="0" w:afterAutospacing="0"/>
        <w:ind w:left="2160" w:hanging="360"/>
      </w:pPr>
      <w:r w:rsidDel="00000000" w:rsidR="00000000" w:rsidRPr="00000000">
        <w:rPr>
          <w:rtl w:val="0"/>
        </w:rPr>
        <w:t xml:space="preserve">Installed with recommended settings: https://git-scm.com/install/windows</w:t>
      </w:r>
      <w:r w:rsidDel="00000000" w:rsidR="00000000" w:rsidRPr="00000000">
        <w:rPr>
          <w:rtl w:val="0"/>
        </w:rPr>
      </w:r>
    </w:p>
    <w:p w:rsidR="00000000" w:rsidDel="00000000" w:rsidP="00000000" w:rsidRDefault="00000000" w:rsidRPr="00000000" w14:paraId="0000000A">
      <w:pPr>
        <w:numPr>
          <w:ilvl w:val="0"/>
          <w:numId w:val="2"/>
        </w:numPr>
        <w:shd w:fill="ffffff" w:val="clear"/>
        <w:spacing w:after="0" w:afterAutospacing="0" w:before="0" w:beforeAutospacing="0" w:lineRule="auto"/>
        <w:ind w:left="720" w:hanging="360"/>
      </w:pPr>
      <w:hyperlink r:id="rId8">
        <w:r w:rsidDel="00000000" w:rsidR="00000000" w:rsidRPr="00000000">
          <w:rPr>
            <w:color w:val="0969da"/>
            <w:sz w:val="24"/>
            <w:szCs w:val="24"/>
            <w:u w:val="single"/>
            <w:rtl w:val="0"/>
          </w:rPr>
          <w:t xml:space="preserve">Cursor</w:t>
        </w:r>
      </w:hyperlink>
      <w:r w:rsidDel="00000000" w:rsidR="00000000" w:rsidRPr="00000000">
        <w:rPr>
          <w:color w:val="0969da"/>
          <w:sz w:val="24"/>
          <w:szCs w:val="24"/>
          <w:u w:val="single"/>
          <w:rtl w:val="0"/>
        </w:rPr>
        <w:t xml:space="preserve"> / Claude </w:t>
      </w:r>
    </w:p>
    <w:p w:rsidR="00000000" w:rsidDel="00000000" w:rsidP="00000000" w:rsidRDefault="00000000" w:rsidRPr="00000000" w14:paraId="0000000B">
      <w:pPr>
        <w:numPr>
          <w:ilvl w:val="0"/>
          <w:numId w:val="2"/>
        </w:numPr>
        <w:shd w:fill="ffffff" w:val="clear"/>
        <w:spacing w:after="0" w:afterAutospacing="0" w:before="0" w:beforeAutospacing="0" w:lineRule="auto"/>
        <w:ind w:left="720" w:hanging="360"/>
        <w:rPr>
          <w:color w:val="0969da"/>
          <w:sz w:val="24"/>
          <w:szCs w:val="24"/>
          <w:u w:val="none"/>
        </w:rPr>
      </w:pPr>
      <w:hyperlink r:id="rId9">
        <w:r w:rsidDel="00000000" w:rsidR="00000000" w:rsidRPr="00000000">
          <w:rPr>
            <w:color w:val="1155cc"/>
            <w:sz w:val="24"/>
            <w:szCs w:val="24"/>
            <w:u w:val="single"/>
            <w:rtl w:val="0"/>
          </w:rPr>
          <w:t xml:space="preserve">Docker</w:t>
        </w:r>
      </w:hyperlink>
      <w:r w:rsidDel="00000000" w:rsidR="00000000" w:rsidRPr="00000000">
        <w:rPr>
          <w:color w:val="0969da"/>
          <w:sz w:val="24"/>
          <w:szCs w:val="24"/>
          <w:u w:val="single"/>
          <w:rtl w:val="0"/>
        </w:rPr>
        <w:t xml:space="preserve"> - </w:t>
      </w:r>
      <w:hyperlink r:id="rId10">
        <w:r w:rsidDel="00000000" w:rsidR="00000000" w:rsidRPr="00000000">
          <w:rPr>
            <w:color w:val="1155cc"/>
            <w:sz w:val="24"/>
            <w:szCs w:val="24"/>
            <w:u w:val="single"/>
            <w:rtl w:val="0"/>
          </w:rPr>
          <w:t xml:space="preserve">https://cisjira.trimble.com/servicedesk/customer/portal/23/create/260</w:t>
        </w:r>
      </w:hyperlink>
      <w:r w:rsidDel="00000000" w:rsidR="00000000" w:rsidRPr="00000000">
        <w:rPr>
          <w:color w:val="0969da"/>
          <w:sz w:val="24"/>
          <w:szCs w:val="24"/>
          <w:u w:val="single"/>
          <w:rtl w:val="0"/>
        </w:rPr>
        <w:t xml:space="preserve"> </w:t>
      </w:r>
    </w:p>
    <w:p w:rsidR="00000000" w:rsidDel="00000000" w:rsidP="00000000" w:rsidRDefault="00000000" w:rsidRPr="00000000" w14:paraId="0000000C">
      <w:pPr>
        <w:numPr>
          <w:ilvl w:val="0"/>
          <w:numId w:val="2"/>
        </w:numPr>
        <w:shd w:fill="ffffff" w:val="clear"/>
        <w:spacing w:after="0" w:afterAutospacing="0" w:before="0" w:beforeAutospacing="0" w:lineRule="auto"/>
        <w:ind w:left="720" w:hanging="360"/>
      </w:pPr>
      <w:hyperlink r:id="rId11">
        <w:r w:rsidDel="00000000" w:rsidR="00000000" w:rsidRPr="00000000">
          <w:rPr>
            <w:color w:val="1155cc"/>
            <w:sz w:val="24"/>
            <w:szCs w:val="24"/>
            <w:u w:val="single"/>
            <w:rtl w:val="0"/>
          </w:rPr>
          <w:t xml:space="preserve">Trimble Cloud Console application with:</w:t>
        </w:r>
      </w:hyperlink>
      <w:r w:rsidDel="00000000" w:rsidR="00000000" w:rsidRPr="00000000">
        <w:rPr>
          <w:rtl w:val="0"/>
        </w:rPr>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processing_framework_api</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fileservice</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Data Ocean</w:t>
      </w:r>
      <w:r w:rsidDel="00000000" w:rsidR="00000000" w:rsidRPr="00000000">
        <w:rPr>
          <w:color w:val="1f2328"/>
          <w:sz w:val="24"/>
          <w:szCs w:val="24"/>
          <w:rtl w:val="0"/>
        </w:rPr>
        <w:t xml:space="preserve"> (currently needed for log export flows)</w:t>
      </w:r>
    </w:p>
    <w:p w:rsidR="00000000" w:rsidDel="00000000" w:rsidP="00000000" w:rsidRDefault="00000000" w:rsidRPr="00000000" w14:paraId="00000010">
      <w:pPr>
        <w:numPr>
          <w:ilvl w:val="1"/>
          <w:numId w:val="2"/>
        </w:numPr>
        <w:spacing w:after="0" w:afterAutospacing="0" w:before="0" w:beforeAutospacing="0" w:lineRule="auto"/>
        <w:ind w:left="1440" w:hanging="360"/>
        <w:rPr>
          <w:color w:val="1f2328"/>
          <w:sz w:val="24"/>
          <w:szCs w:val="24"/>
          <w:u w:val="none"/>
        </w:rPr>
      </w:pPr>
      <w:r w:rsidDel="00000000" w:rsidR="00000000" w:rsidRPr="00000000">
        <w:rPr>
          <w:color w:val="1f2328"/>
          <w:sz w:val="24"/>
          <w:szCs w:val="24"/>
          <w:rtl w:val="0"/>
        </w:rPr>
        <w:t xml:space="preserve">Can we reuse Angela’s </w:t>
      </w:r>
      <w:hyperlink r:id="rId12">
        <w:r w:rsidDel="00000000" w:rsidR="00000000" w:rsidRPr="00000000">
          <w:rPr>
            <w:color w:val="1155cc"/>
            <w:sz w:val="24"/>
            <w:szCs w:val="24"/>
            <w:u w:val="single"/>
            <w:rtl w:val="0"/>
          </w:rPr>
          <w:t xml:space="preserve">https://console.stage.api.trimblecloud.com/home/applications/cbe87835-9769-4200-9df7-aa10ece75050/gateway/trimble-pre-prod/summary?applicationName=engine-testing</w:t>
        </w:r>
      </w:hyperlink>
      <w:r w:rsidDel="00000000" w:rsidR="00000000" w:rsidRPr="00000000">
        <w:rPr>
          <w:color w:val="1f2328"/>
          <w:sz w:val="24"/>
          <w:szCs w:val="24"/>
          <w:rtl w:val="0"/>
        </w:rPr>
        <w:t xml:space="preserve"> </w:t>
      </w:r>
    </w:p>
    <w:p w:rsidR="00000000" w:rsidDel="00000000" w:rsidP="00000000" w:rsidRDefault="00000000" w:rsidRPr="00000000" w14:paraId="00000011">
      <w:pPr>
        <w:numPr>
          <w:ilvl w:val="0"/>
          <w:numId w:val="2"/>
        </w:numPr>
        <w:shd w:fill="ffffff" w:val="clear"/>
        <w:spacing w:after="0" w:afterAutospacing="0" w:before="0" w:beforeAutospacing="0" w:lineRule="auto"/>
        <w:ind w:left="720" w:hanging="360"/>
      </w:pPr>
      <w:r w:rsidDel="00000000" w:rsidR="00000000" w:rsidRPr="00000000">
        <w:rPr>
          <w:color w:val="1f2328"/>
          <w:sz w:val="24"/>
          <w:szCs w:val="24"/>
          <w:rtl w:val="0"/>
        </w:rPr>
        <w:t xml:space="preserve">At least one TID test automation account (</w:t>
      </w:r>
      <w:hyperlink r:id="rId13">
        <w:r w:rsidDel="00000000" w:rsidR="00000000" w:rsidRPr="00000000">
          <w:rPr>
            <w:color w:val="0969da"/>
            <w:sz w:val="24"/>
            <w:szCs w:val="24"/>
            <w:u w:val="single"/>
            <w:rtl w:val="0"/>
          </w:rPr>
          <w:t xml:space="preserve">request guide</w:t>
        </w:r>
      </w:hyperlink>
      <w:r w:rsidDel="00000000" w:rsidR="00000000" w:rsidRPr="00000000">
        <w:rPr>
          <w:color w:val="1f2328"/>
          <w:sz w:val="24"/>
          <w:szCs w:val="24"/>
          <w:rtl w:val="0"/>
        </w:rPr>
        <w:t xml:space="preserve">)</w:t>
      </w:r>
    </w:p>
    <w:p w:rsidR="00000000" w:rsidDel="00000000" w:rsidP="00000000" w:rsidRDefault="00000000" w:rsidRPr="00000000" w14:paraId="00000012">
      <w:pPr>
        <w:numPr>
          <w:ilvl w:val="1"/>
          <w:numId w:val="2"/>
        </w:numPr>
        <w:shd w:fill="ffffff" w:val="clear"/>
        <w:spacing w:after="0" w:afterAutospacing="0" w:before="0" w:beforeAutospacing="0" w:lineRule="auto"/>
        <w:ind w:left="1440" w:hanging="360"/>
        <w:rPr>
          <w:color w:val="1f2328"/>
          <w:sz w:val="24"/>
          <w:szCs w:val="24"/>
          <w:u w:val="none"/>
        </w:rPr>
      </w:pPr>
      <w:r w:rsidDel="00000000" w:rsidR="00000000" w:rsidRPr="00000000">
        <w:rPr>
          <w:color w:val="1f2328"/>
          <w:sz w:val="24"/>
          <w:szCs w:val="24"/>
          <w:rtl w:val="0"/>
        </w:rPr>
        <w:t xml:space="preserve">Associated App ID: </w:t>
      </w:r>
      <w:r w:rsidDel="00000000" w:rsidR="00000000" w:rsidRPr="00000000">
        <w:rPr>
          <w:rFonts w:ascii="Courier New" w:cs="Courier New" w:eastAsia="Courier New" w:hAnsi="Courier New"/>
          <w:color w:val="1f2328"/>
          <w:sz w:val="20"/>
          <w:szCs w:val="20"/>
          <w:rtl w:val="0"/>
        </w:rPr>
        <w:t xml:space="preserve">cbe87835-9769-4200-9df7-aa10ece75050 </w:t>
      </w:r>
    </w:p>
    <w:p w:rsidR="00000000" w:rsidDel="00000000" w:rsidP="00000000" w:rsidRDefault="00000000" w:rsidRPr="00000000" w14:paraId="00000013">
      <w:pPr>
        <w:numPr>
          <w:ilvl w:val="2"/>
          <w:numId w:val="2"/>
        </w:numPr>
        <w:shd w:fill="ffffff" w:val="clear"/>
        <w:spacing w:after="0" w:afterAutospacing="0" w:before="0" w:beforeAutospacing="0" w:lineRule="auto"/>
        <w:ind w:left="2160" w:hanging="360"/>
        <w:rPr>
          <w:color w:val="1f2328"/>
          <w:sz w:val="24"/>
          <w:szCs w:val="24"/>
          <w:u w:val="none"/>
        </w:rPr>
      </w:pPr>
      <w:r w:rsidDel="00000000" w:rsidR="00000000" w:rsidRPr="00000000">
        <w:rPr>
          <w:rFonts w:ascii="Courier New" w:cs="Courier New" w:eastAsia="Courier New" w:hAnsi="Courier New"/>
          <w:color w:val="1f2328"/>
          <w:sz w:val="20"/>
          <w:szCs w:val="20"/>
          <w:rtl w:val="0"/>
        </w:rPr>
        <w:t xml:space="preserve">came from above, if using your own substitute</w:t>
      </w:r>
      <w:r w:rsidDel="00000000" w:rsidR="00000000" w:rsidRPr="00000000">
        <w:rPr>
          <w:rtl w:val="0"/>
        </w:rPr>
      </w:r>
    </w:p>
    <w:p w:rsidR="00000000" w:rsidDel="00000000" w:rsidP="00000000" w:rsidRDefault="00000000" w:rsidRPr="00000000" w14:paraId="00000014">
      <w:pPr>
        <w:numPr>
          <w:ilvl w:val="1"/>
          <w:numId w:val="2"/>
        </w:numPr>
        <w:shd w:fill="ffffff" w:val="clear"/>
        <w:spacing w:after="0" w:afterAutospacing="0" w:before="0" w:beforeAutospacing="0" w:lineRule="auto"/>
        <w:ind w:left="1440" w:hanging="360"/>
      </w:pPr>
      <w:r w:rsidDel="00000000" w:rsidR="00000000" w:rsidRPr="00000000">
        <w:rPr>
          <w:color w:val="1f2328"/>
          <w:sz w:val="24"/>
          <w:szCs w:val="24"/>
          <w:rtl w:val="0"/>
        </w:rPr>
        <w:t xml:space="preserve">User Identity: </w:t>
      </w:r>
      <w:r w:rsidDel="00000000" w:rsidR="00000000" w:rsidRPr="00000000">
        <w:rPr>
          <w:rFonts w:ascii="Courier New" w:cs="Courier New" w:eastAsia="Courier New" w:hAnsi="Courier New"/>
          <w:color w:val="1f2328"/>
          <w:sz w:val="20"/>
          <w:szCs w:val="20"/>
          <w:rtl w:val="0"/>
        </w:rPr>
        <w:t xml:space="preserve">(your username)</w:t>
      </w:r>
    </w:p>
    <w:p w:rsidR="00000000" w:rsidDel="00000000" w:rsidP="00000000" w:rsidRDefault="00000000" w:rsidRPr="00000000" w14:paraId="00000015">
      <w:pPr>
        <w:numPr>
          <w:ilvl w:val="2"/>
          <w:numId w:val="2"/>
        </w:numPr>
        <w:shd w:fill="ffffff" w:val="clear"/>
        <w:spacing w:after="0" w:afterAutospacing="0" w:before="0" w:beforeAutospacing="0" w:lineRule="auto"/>
        <w:ind w:left="2160" w:hanging="360"/>
        <w:rPr>
          <w:rFonts w:ascii="Courier New" w:cs="Courier New" w:eastAsia="Courier New" w:hAnsi="Courier New"/>
          <w:color w:val="1f2328"/>
          <w:sz w:val="20"/>
          <w:szCs w:val="20"/>
          <w:u w:val="none"/>
        </w:rPr>
      </w:pPr>
      <w:r w:rsidDel="00000000" w:rsidR="00000000" w:rsidRPr="00000000">
        <w:rPr>
          <w:rFonts w:ascii="Courier New" w:cs="Courier New" w:eastAsia="Courier New" w:hAnsi="Courier New"/>
          <w:color w:val="1f2328"/>
          <w:sz w:val="20"/>
          <w:szCs w:val="20"/>
          <w:rtl w:val="0"/>
        </w:rPr>
        <w:t xml:space="preserve">trimblecorp</w:t>
      </w:r>
    </w:p>
    <w:p w:rsidR="00000000" w:rsidDel="00000000" w:rsidP="00000000" w:rsidRDefault="00000000" w:rsidRPr="00000000" w14:paraId="00000016">
      <w:pPr>
        <w:numPr>
          <w:ilvl w:val="1"/>
          <w:numId w:val="2"/>
        </w:numPr>
        <w:shd w:fill="ffffff" w:val="clear"/>
        <w:spacing w:after="0" w:afterAutospacing="0" w:before="0" w:beforeAutospacing="0" w:lineRule="auto"/>
        <w:ind w:left="1440" w:hanging="360"/>
      </w:pPr>
      <w:r w:rsidDel="00000000" w:rsidR="00000000" w:rsidRPr="00000000">
        <w:rPr>
          <w:color w:val="1f2328"/>
          <w:sz w:val="24"/>
          <w:szCs w:val="24"/>
          <w:rtl w:val="0"/>
        </w:rPr>
        <w:t xml:space="preserve">Target Tier: Pre-Production Services</w:t>
      </w:r>
      <w:r w:rsidDel="00000000" w:rsidR="00000000" w:rsidRPr="00000000">
        <w:rPr>
          <w:rtl w:val="0"/>
        </w:rPr>
      </w:r>
    </w:p>
    <w:p w:rsidR="00000000" w:rsidDel="00000000" w:rsidP="00000000" w:rsidRDefault="00000000" w:rsidRPr="00000000" w14:paraId="00000017">
      <w:pPr>
        <w:numPr>
          <w:ilvl w:val="1"/>
          <w:numId w:val="2"/>
        </w:numPr>
        <w:shd w:fill="ffffff" w:val="clear"/>
        <w:spacing w:after="0" w:afterAutospacing="0" w:before="0" w:beforeAutospacing="0" w:lineRule="auto"/>
        <w:ind w:left="1440" w:hanging="360"/>
      </w:pPr>
      <w:r w:rsidDel="00000000" w:rsidR="00000000" w:rsidRPr="00000000">
        <w:rPr>
          <w:color w:val="1f2328"/>
          <w:sz w:val="24"/>
          <w:szCs w:val="24"/>
          <w:rtl w:val="0"/>
        </w:rPr>
        <w:t xml:space="preserve">Primary Objective: Development of Workflow Engines</w:t>
      </w:r>
      <w:r w:rsidDel="00000000" w:rsidR="00000000" w:rsidRPr="00000000">
        <w:rPr>
          <w:rtl w:val="0"/>
        </w:rPr>
      </w:r>
    </w:p>
    <w:p w:rsidR="00000000" w:rsidDel="00000000" w:rsidP="00000000" w:rsidRDefault="00000000" w:rsidRPr="00000000" w14:paraId="00000018">
      <w:pPr>
        <w:numPr>
          <w:ilvl w:val="1"/>
          <w:numId w:val="2"/>
        </w:numPr>
        <w:shd w:fill="ffffff" w:val="clear"/>
        <w:spacing w:after="0" w:afterAutospacing="0" w:before="0" w:beforeAutospacing="0" w:lineRule="auto"/>
        <w:ind w:left="1440" w:hanging="360"/>
        <w:rPr>
          <w:color w:val="1f2328"/>
          <w:sz w:val="24"/>
          <w:szCs w:val="24"/>
          <w:u w:val="none"/>
        </w:rPr>
      </w:pPr>
      <w:r w:rsidDel="00000000" w:rsidR="00000000" w:rsidRPr="00000000">
        <w:rPr>
          <w:color w:val="1f2328"/>
          <w:sz w:val="24"/>
          <w:szCs w:val="24"/>
        </w:rPr>
        <w:drawing>
          <wp:inline distB="114300" distT="114300" distL="114300" distR="114300">
            <wp:extent cx="5943600" cy="34798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shd w:fill="ffffff" w:val="clear"/>
        <w:spacing w:after="240" w:before="0" w:beforeAutospacing="0" w:lineRule="auto"/>
        <w:ind w:left="720" w:hanging="360"/>
        <w:rPr>
          <w:color w:val="1f2328"/>
          <w:sz w:val="24"/>
          <w:szCs w:val="24"/>
          <w:u w:val="none"/>
        </w:rPr>
      </w:pPr>
      <w:r w:rsidDel="00000000" w:rsidR="00000000" w:rsidRPr="00000000">
        <w:rPr>
          <w:color w:val="1f2328"/>
          <w:sz w:val="24"/>
          <w:szCs w:val="24"/>
          <w:rtl w:val="0"/>
        </w:rPr>
        <w:t xml:space="preserve">Trimble Artifactory Access - </w:t>
      </w:r>
      <w:hyperlink r:id="rId15">
        <w:r w:rsidDel="00000000" w:rsidR="00000000" w:rsidRPr="00000000">
          <w:rPr>
            <w:color w:val="1155cc"/>
            <w:sz w:val="24"/>
            <w:szCs w:val="24"/>
            <w:u w:val="single"/>
            <w:rtl w:val="0"/>
          </w:rPr>
          <w:t xml:space="preserve">https://artifactory.trimble.tools/ui/packages</w:t>
        </w:r>
      </w:hyperlink>
      <w:r w:rsidDel="00000000" w:rsidR="00000000" w:rsidRPr="00000000">
        <w:rPr>
          <w:color w:val="1f2328"/>
          <w:sz w:val="24"/>
          <w:szCs w:val="24"/>
          <w:rtl w:val="0"/>
        </w:rPr>
        <w:t xml:space="preserve"> - top right user profile generate </w:t>
      </w:r>
    </w:p>
    <w:p w:rsidR="00000000" w:rsidDel="00000000" w:rsidP="00000000" w:rsidRDefault="00000000" w:rsidRPr="00000000" w14:paraId="0000001A">
      <w:pPr>
        <w:shd w:fill="ffffff" w:val="clear"/>
        <w:spacing w:after="240" w:before="60" w:lineRule="auto"/>
        <w:rPr/>
      </w:pPr>
      <w:r w:rsidDel="00000000" w:rsidR="00000000" w:rsidRPr="00000000">
        <w:rPr>
          <w:rtl w:val="0"/>
        </w:rPr>
        <w:t xml:space="preserve">dotnet nuget update source trimblecloudplatform-engagement-nuget `</w:t>
      </w:r>
    </w:p>
    <w:p w:rsidR="00000000" w:rsidDel="00000000" w:rsidP="00000000" w:rsidRDefault="00000000" w:rsidRPr="00000000" w14:paraId="0000001B">
      <w:pPr>
        <w:rPr/>
      </w:pPr>
      <w:r w:rsidDel="00000000" w:rsidR="00000000" w:rsidRPr="00000000">
        <w:rPr>
          <w:rtl w:val="0"/>
        </w:rPr>
        <w:t xml:space="preserve">  --source "https://artifactory.trimble.tools/artifactory/api/nuget/v3/trimblecloudplatform-engagement-nuget/index.json" `</w:t>
      </w:r>
    </w:p>
    <w:p w:rsidR="00000000" w:rsidDel="00000000" w:rsidP="00000000" w:rsidRDefault="00000000" w:rsidRPr="00000000" w14:paraId="0000001C">
      <w:pPr>
        <w:rPr/>
      </w:pPr>
      <w:r w:rsidDel="00000000" w:rsidR="00000000" w:rsidRPr="00000000">
        <w:rPr>
          <w:rtl w:val="0"/>
        </w:rPr>
        <w:t xml:space="preserve">  --username " " `</w:t>
      </w:r>
    </w:p>
    <w:p w:rsidR="00000000" w:rsidDel="00000000" w:rsidP="00000000" w:rsidRDefault="00000000" w:rsidRPr="00000000" w14:paraId="0000001D">
      <w:pPr>
        <w:rPr/>
      </w:pPr>
      <w:r w:rsidDel="00000000" w:rsidR="00000000" w:rsidRPr="00000000">
        <w:rPr>
          <w:rtl w:val="0"/>
        </w:rPr>
        <w:t xml:space="preserve">  --password "  " `</w:t>
      </w:r>
    </w:p>
    <w:p w:rsidR="00000000" w:rsidDel="00000000" w:rsidP="00000000" w:rsidRDefault="00000000" w:rsidRPr="00000000" w14:paraId="0000001E">
      <w:pPr>
        <w:rPr/>
      </w:pPr>
      <w:r w:rsidDel="00000000" w:rsidR="00000000" w:rsidRPr="00000000">
        <w:rPr>
          <w:rtl w:val="0"/>
        </w:rPr>
        <w:t xml:space="preserve">  --store-password-in-clear-text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nuget sources Add -Name Artifactory -Source https://artifactory.trimble.tools/artifactory/api/nuget/v3/trimblecloudplatform-engagement-*nuget/index.json -username jeff_bendixsen@trimble.com -password mVmdGtuOjAxOjE4M…GT25XbDc1NEN3RzRFRTds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1"/>
          <w:numId w:val="2"/>
        </w:numPr>
        <w:shd w:fill="ffffff" w:val="clear"/>
        <w:spacing w:after="0" w:afterAutospacing="0" w:before="60" w:lineRule="auto"/>
        <w:ind w:left="1440" w:hanging="360"/>
        <w:rPr>
          <w:color w:val="1f2328"/>
          <w:sz w:val="24"/>
          <w:szCs w:val="24"/>
          <w:u w:val="none"/>
        </w:rPr>
      </w:pPr>
      <w:r w:rsidDel="00000000" w:rsidR="00000000" w:rsidRPr="00000000">
        <w:rPr>
          <w:color w:val="1f2328"/>
          <w:sz w:val="24"/>
          <w:szCs w:val="24"/>
          <w:rtl w:val="0"/>
        </w:rPr>
        <w:t xml:space="preserve">SSH keys also </w:t>
      </w:r>
    </w:p>
    <w:p w:rsidR="00000000" w:rsidDel="00000000" w:rsidP="00000000" w:rsidRDefault="00000000" w:rsidRPr="00000000" w14:paraId="00000025">
      <w:pPr>
        <w:numPr>
          <w:ilvl w:val="0"/>
          <w:numId w:val="2"/>
        </w:numPr>
        <w:shd w:fill="ffffff" w:val="clear"/>
        <w:spacing w:after="240" w:before="0" w:beforeAutospacing="0" w:lineRule="auto"/>
        <w:ind w:left="720" w:hanging="360"/>
        <w:rPr>
          <w:color w:val="1f2328"/>
          <w:sz w:val="24"/>
          <w:szCs w:val="24"/>
          <w:u w:val="none"/>
        </w:rPr>
      </w:pPr>
      <w:r w:rsidDel="00000000" w:rsidR="00000000" w:rsidRPr="00000000">
        <w:rPr>
          <w:color w:val="1f2328"/>
          <w:sz w:val="24"/>
          <w:szCs w:val="24"/>
          <w:rtl w:val="0"/>
        </w:rPr>
        <w:t xml:space="preserve">Generating an SSH Key: </w:t>
      </w:r>
      <w:hyperlink r:id="rId16">
        <w:r w:rsidDel="00000000" w:rsidR="00000000" w:rsidRPr="00000000">
          <w:rPr>
            <w:color w:val="1155cc"/>
            <w:sz w:val="24"/>
            <w:szCs w:val="24"/>
            <w:u w:val="single"/>
            <w:rtl w:val="0"/>
          </w:rPr>
          <w:t xml:space="preserve">https://docs.github.com/en/authentication/connecting-to-github-with-ssh/generating-a-new-ssh-key-and-adding-it-to-the-ssh-agent</w:t>
        </w:r>
      </w:hyperlink>
      <w:r w:rsidDel="00000000" w:rsidR="00000000" w:rsidRPr="00000000">
        <w:rPr>
          <w:color w:val="1f2328"/>
          <w:sz w:val="24"/>
          <w:szCs w:val="24"/>
          <w:rtl w:val="0"/>
        </w:rPr>
        <w:t xml:space="preserve"> </w:t>
      </w:r>
    </w:p>
    <w:p w:rsidR="00000000" w:rsidDel="00000000" w:rsidP="00000000" w:rsidRDefault="00000000" w:rsidRPr="00000000" w14:paraId="00000026">
      <w:pPr>
        <w:pStyle w:val="Heading3"/>
        <w:keepNext w:val="0"/>
        <w:keepLines w:val="0"/>
        <w:shd w:fill="ffffff" w:val="clear"/>
        <w:spacing w:after="240" w:before="360" w:line="300" w:lineRule="auto"/>
        <w:rPr>
          <w:color w:val="1f2328"/>
          <w:sz w:val="35"/>
          <w:szCs w:val="35"/>
        </w:rPr>
      </w:pPr>
      <w:bookmarkStart w:colFirst="0" w:colLast="0" w:name="_kliyfw4id7nv" w:id="2"/>
      <w:bookmarkEnd w:id="2"/>
      <w:r w:rsidDel="00000000" w:rsidR="00000000" w:rsidRPr="00000000">
        <w:rPr>
          <w:color w:val="1f2328"/>
          <w:sz w:val="35"/>
          <w:szCs w:val="35"/>
          <w:rtl w:val="0"/>
        </w:rPr>
        <w:t xml:space="preserve">2) Create and Clone Repositories</w:t>
      </w:r>
    </w:p>
    <w:p w:rsidR="00000000" w:rsidDel="00000000" w:rsidP="00000000" w:rsidRDefault="00000000" w:rsidRPr="00000000" w14:paraId="00000027">
      <w:pPr>
        <w:shd w:fill="ffffff" w:val="clear"/>
        <w:spacing w:after="240" w:lineRule="auto"/>
        <w:rPr>
          <w:color w:val="1f2328"/>
          <w:sz w:val="24"/>
          <w:szCs w:val="24"/>
        </w:rPr>
      </w:pPr>
      <w:r w:rsidDel="00000000" w:rsidR="00000000" w:rsidRPr="00000000">
        <w:rPr>
          <w:color w:val="1f2328"/>
          <w:sz w:val="24"/>
          <w:szCs w:val="24"/>
          <w:rtl w:val="0"/>
        </w:rPr>
        <w:t xml:space="preserve">Create your new engine repository, then clone it together with a template repository.</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//git clone </w:t>
      </w:r>
      <w:hyperlink r:id="rId17">
        <w:r w:rsidDel="00000000" w:rsidR="00000000" w:rsidRPr="00000000">
          <w:rPr>
            <w:rFonts w:ascii="Courier New" w:cs="Courier New" w:eastAsia="Courier New" w:hAnsi="Courier New"/>
            <w:color w:val="1155cc"/>
            <w:sz w:val="20"/>
            <w:szCs w:val="20"/>
            <w:u w:val="single"/>
            <w:shd w:fill="f6f8fa" w:val="clear"/>
            <w:rtl w:val="0"/>
          </w:rPr>
          <w:t xml:space="preserve">https://github.com/trimble-oss/Trimble.YourEngine.Engine.git</w:t>
        </w:r>
      </w:hyperlink>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Cd to the new directory</w:t>
      </w:r>
    </w:p>
    <w:p w:rsidR="00000000" w:rsidDel="00000000" w:rsidP="00000000" w:rsidRDefault="00000000" w:rsidRPr="00000000" w14:paraId="0000002C">
      <w:pPr>
        <w:shd w:fill="f6f8fa" w:val="clear"/>
        <w:spacing w:after="240"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git clone https://github.com/trimble-oss/Trimble.EngineTemplate.Engine.git</w:t>
      </w:r>
    </w:p>
    <w:p w:rsidR="00000000" w:rsidDel="00000000" w:rsidP="00000000" w:rsidRDefault="00000000" w:rsidRPr="00000000" w14:paraId="0000002D">
      <w:pPr>
        <w:pStyle w:val="Heading3"/>
        <w:keepNext w:val="0"/>
        <w:keepLines w:val="0"/>
        <w:shd w:fill="ffffff" w:val="clear"/>
        <w:spacing w:after="240" w:before="360" w:line="300" w:lineRule="auto"/>
        <w:rPr>
          <w:color w:val="1f2328"/>
          <w:sz w:val="35"/>
          <w:szCs w:val="35"/>
        </w:rPr>
      </w:pPr>
      <w:bookmarkStart w:colFirst="0" w:colLast="0" w:name="_y7kba81l8cze" w:id="3"/>
      <w:bookmarkEnd w:id="3"/>
      <w:r w:rsidDel="00000000" w:rsidR="00000000" w:rsidRPr="00000000">
        <w:rPr>
          <w:color w:val="1f2328"/>
          <w:sz w:val="35"/>
          <w:szCs w:val="35"/>
          <w:rtl w:val="0"/>
        </w:rPr>
        <w:t xml:space="preserve">3) Design Requirements</w:t>
      </w:r>
    </w:p>
    <w:p w:rsidR="00000000" w:rsidDel="00000000" w:rsidP="00000000" w:rsidRDefault="00000000" w:rsidRPr="00000000" w14:paraId="0000002E">
      <w:pPr>
        <w:shd w:fill="ffffff" w:val="clear"/>
        <w:spacing w:after="240" w:lineRule="auto"/>
        <w:rPr>
          <w:color w:val="1f2328"/>
          <w:sz w:val="24"/>
          <w:szCs w:val="24"/>
        </w:rPr>
      </w:pPr>
      <w:r w:rsidDel="00000000" w:rsidR="00000000" w:rsidRPr="00000000">
        <w:rPr>
          <w:color w:val="1f2328"/>
          <w:sz w:val="24"/>
          <w:szCs w:val="24"/>
          <w:rtl w:val="0"/>
        </w:rPr>
        <w:t xml:space="preserve">Use the </w:t>
      </w:r>
      <w:hyperlink r:id="rId18">
        <w:r w:rsidDel="00000000" w:rsidR="00000000" w:rsidRPr="00000000">
          <w:rPr>
            <w:color w:val="0969da"/>
            <w:sz w:val="24"/>
            <w:szCs w:val="24"/>
            <w:u w:val="single"/>
            <w:rtl w:val="0"/>
          </w:rPr>
          <w:t xml:space="preserve">Engine Spec Builder</w:t>
        </w:r>
      </w:hyperlink>
      <w:r w:rsidDel="00000000" w:rsidR="00000000" w:rsidRPr="00000000">
        <w:rPr>
          <w:color w:val="1f2328"/>
          <w:sz w:val="24"/>
          <w:szCs w:val="24"/>
          <w:rtl w:val="0"/>
        </w:rPr>
        <w:t xml:space="preserve"> to build a spec and download the generated markdown.</w:t>
      </w:r>
    </w:p>
    <w:p w:rsidR="00000000" w:rsidDel="00000000" w:rsidP="00000000" w:rsidRDefault="00000000" w:rsidRPr="00000000" w14:paraId="0000002F">
      <w:pPr>
        <w:pStyle w:val="Heading3"/>
        <w:keepNext w:val="0"/>
        <w:keepLines w:val="0"/>
        <w:shd w:fill="ffffff" w:val="clear"/>
        <w:spacing w:after="240" w:before="360" w:line="300" w:lineRule="auto"/>
        <w:rPr>
          <w:color w:val="1f2328"/>
          <w:sz w:val="35"/>
          <w:szCs w:val="35"/>
        </w:rPr>
      </w:pPr>
      <w:bookmarkStart w:colFirst="0" w:colLast="0" w:name="_dptx7sl4g8j2" w:id="4"/>
      <w:bookmarkEnd w:id="4"/>
      <w:r w:rsidDel="00000000" w:rsidR="00000000" w:rsidRPr="00000000">
        <w:rPr>
          <w:color w:val="1f2328"/>
          <w:sz w:val="35"/>
          <w:szCs w:val="35"/>
          <w:rtl w:val="0"/>
        </w:rPr>
        <w:t xml:space="preserve">4) Generate in Cursor</w:t>
      </w:r>
    </w:p>
    <w:p w:rsidR="00000000" w:rsidDel="00000000" w:rsidP="00000000" w:rsidRDefault="00000000" w:rsidRPr="00000000" w14:paraId="00000030">
      <w:pPr>
        <w:shd w:fill="ffffff" w:val="clear"/>
        <w:spacing w:after="240" w:lineRule="auto"/>
        <w:rPr>
          <w:color w:val="1f2328"/>
          <w:sz w:val="24"/>
          <w:szCs w:val="24"/>
        </w:rPr>
      </w:pPr>
      <w:r w:rsidDel="00000000" w:rsidR="00000000" w:rsidRPr="00000000">
        <w:rPr>
          <w:color w:val="1f2328"/>
          <w:sz w:val="24"/>
          <w:szCs w:val="24"/>
          <w:rtl w:val="0"/>
        </w:rPr>
        <w:t xml:space="preserve">Place your spec file in the engine repository and prompt Cursor in Plan mode:</w:t>
      </w:r>
    </w:p>
    <w:p w:rsidR="00000000" w:rsidDel="00000000" w:rsidP="00000000" w:rsidRDefault="00000000" w:rsidRPr="00000000" w14:paraId="00000031">
      <w:pPr>
        <w:rPr>
          <w:rFonts w:ascii="Roboto Mono" w:cs="Roboto Mono" w:eastAsia="Roboto Mono" w:hAnsi="Roboto Mono"/>
          <w:color w:val="188038"/>
          <w:sz w:val="20"/>
          <w:szCs w:val="20"/>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Create a new engine based on the requirements in @my-engine-spec.md</w:t>
      </w:r>
    </w:p>
    <w:p w:rsidR="00000000" w:rsidDel="00000000" w:rsidP="00000000" w:rsidRDefault="00000000" w:rsidRPr="00000000" w14:paraId="0000003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34">
      <w:pPr>
        <w:pStyle w:val="Heading3"/>
        <w:keepNext w:val="0"/>
        <w:keepLines w:val="0"/>
        <w:shd w:fill="ffffff" w:val="clear"/>
        <w:spacing w:after="240" w:before="360" w:line="300" w:lineRule="auto"/>
        <w:rPr>
          <w:color w:val="1f2328"/>
          <w:sz w:val="35"/>
          <w:szCs w:val="35"/>
        </w:rPr>
      </w:pPr>
      <w:bookmarkStart w:colFirst="0" w:colLast="0" w:name="_xl2dqom6le7w" w:id="5"/>
      <w:bookmarkEnd w:id="5"/>
      <w:r w:rsidDel="00000000" w:rsidR="00000000" w:rsidRPr="00000000">
        <w:rPr>
          <w:color w:val="1f2328"/>
          <w:sz w:val="35"/>
          <w:szCs w:val="35"/>
          <w:rtl w:val="0"/>
        </w:rPr>
        <w:t xml:space="preserve">5) Validate Locally</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0550ae"/>
          <w:sz w:val="20"/>
          <w:szCs w:val="20"/>
          <w:shd w:fill="f6f8fa" w:val="clear"/>
          <w:rtl w:val="0"/>
        </w:rPr>
        <w:t xml:space="preserve">cd</w:t>
      </w:r>
      <w:r w:rsidDel="00000000" w:rsidR="00000000" w:rsidRPr="00000000">
        <w:rPr>
          <w:rFonts w:ascii="Courier New" w:cs="Courier New" w:eastAsia="Courier New" w:hAnsi="Courier New"/>
          <w:color w:val="1f2328"/>
          <w:sz w:val="20"/>
          <w:szCs w:val="20"/>
          <w:shd w:fill="f6f8fa" w:val="clear"/>
          <w:rtl w:val="0"/>
        </w:rPr>
        <w:t xml:space="preserve"> Trimble.YourEngine.Engine/src</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dotnet restore</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dotnet build</w:t>
      </w:r>
    </w:p>
    <w:p w:rsidR="00000000" w:rsidDel="00000000" w:rsidP="00000000" w:rsidRDefault="00000000" w:rsidRPr="00000000" w14:paraId="00000038">
      <w:pPr>
        <w:shd w:fill="f6f8fa" w:val="clear"/>
        <w:spacing w:after="240" w:line="348" w:lineRule="auto"/>
        <w:rPr>
          <w:rFonts w:ascii="Courier New" w:cs="Courier New" w:eastAsia="Courier New" w:hAnsi="Courier New"/>
          <w:color w:val="0550ae"/>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dotnet </w:t>
      </w:r>
      <w:r w:rsidDel="00000000" w:rsidR="00000000" w:rsidRPr="00000000">
        <w:rPr>
          <w:rFonts w:ascii="Courier New" w:cs="Courier New" w:eastAsia="Courier New" w:hAnsi="Courier New"/>
          <w:color w:val="0550ae"/>
          <w:sz w:val="20"/>
          <w:szCs w:val="20"/>
          <w:shd w:fill="f6f8fa" w:val="clear"/>
          <w:rtl w:val="0"/>
        </w:rPr>
        <w:t xml:space="preserve">test</w:t>
      </w:r>
    </w:p>
    <w:p w:rsidR="00000000" w:rsidDel="00000000" w:rsidP="00000000" w:rsidRDefault="00000000" w:rsidRPr="00000000" w14:paraId="0000003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240" w:before="360" w:line="300" w:lineRule="auto"/>
        <w:rPr>
          <w:color w:val="1f2328"/>
          <w:sz w:val="35"/>
          <w:szCs w:val="35"/>
        </w:rPr>
      </w:pPr>
      <w:bookmarkStart w:colFirst="0" w:colLast="0" w:name="_ypha8ydv1eki" w:id="6"/>
      <w:bookmarkEnd w:id="6"/>
      <w:r w:rsidDel="00000000" w:rsidR="00000000" w:rsidRPr="00000000">
        <w:rPr>
          <w:color w:val="1f2328"/>
          <w:sz w:val="35"/>
          <w:szCs w:val="35"/>
          <w:rtl w:val="0"/>
        </w:rPr>
        <w:t xml:space="preserve">6) Push, PR, and Deploy</w:t>
      </w:r>
    </w:p>
    <w:p w:rsidR="00000000" w:rsidDel="00000000" w:rsidP="00000000" w:rsidRDefault="00000000" w:rsidRPr="00000000" w14:paraId="0000003B">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Open a PR to trigger validation workflows</w:t>
      </w:r>
    </w:p>
    <w:p w:rsidR="00000000" w:rsidDel="00000000" w:rsidP="00000000" w:rsidRDefault="00000000" w:rsidRPr="00000000" w14:paraId="0000003C">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Merge to run CI/CD workflows</w:t>
      </w:r>
    </w:p>
    <w:p w:rsidR="00000000" w:rsidDel="00000000" w:rsidP="00000000" w:rsidRDefault="00000000" w:rsidRPr="00000000" w14:paraId="0000003D">
      <w:pPr>
        <w:numPr>
          <w:ilvl w:val="0"/>
          <w:numId w:val="1"/>
        </w:numPr>
        <w:shd w:fill="ffffff" w:val="clear"/>
        <w:spacing w:after="240" w:before="0" w:beforeAutospacing="0" w:lineRule="auto"/>
        <w:ind w:left="720" w:hanging="360"/>
      </w:pPr>
      <w:r w:rsidDel="00000000" w:rsidR="00000000" w:rsidRPr="00000000">
        <w:rPr>
          <w:color w:val="1f2328"/>
          <w:sz w:val="24"/>
          <w:szCs w:val="24"/>
          <w:rtl w:val="0"/>
        </w:rPr>
        <w:t xml:space="preserve">Use deployment approval flow for public promotion</w:t>
      </w:r>
    </w:p>
    <w:p w:rsidR="00000000" w:rsidDel="00000000" w:rsidP="00000000" w:rsidRDefault="00000000" w:rsidRPr="00000000" w14:paraId="0000003E">
      <w:pPr>
        <w:shd w:fill="ffffff" w:val="clear"/>
        <w:spacing w:after="240" w:lineRule="auto"/>
        <w:rPr>
          <w:color w:val="1f2328"/>
          <w:sz w:val="24"/>
          <w:szCs w:val="24"/>
        </w:rPr>
      </w:pPr>
      <w:r w:rsidDel="00000000" w:rsidR="00000000" w:rsidRPr="00000000">
        <w:rPr>
          <w:color w:val="1f2328"/>
          <w:sz w:val="24"/>
          <w:szCs w:val="24"/>
          <w:rtl w:val="0"/>
        </w:rPr>
        <w:t xml:space="preserve">For detailed pipeline behavior and deployment targets, use the TEDT docs.</w:t>
      </w:r>
    </w:p>
    <w:p w:rsidR="00000000" w:rsidDel="00000000" w:rsidP="00000000" w:rsidRDefault="00000000" w:rsidRPr="00000000" w14:paraId="0000003F">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1hkttl9vxzdi" w:id="7"/>
      <w:bookmarkEnd w:id="7"/>
      <w:r w:rsidDel="00000000" w:rsidR="00000000" w:rsidRPr="00000000">
        <w:rPr>
          <w:color w:val="1f2328"/>
          <w:sz w:val="54"/>
          <w:szCs w:val="54"/>
          <w:rtl w:val="0"/>
        </w:rPr>
        <w:t xml:space="preserve">Processing Framework Essentials</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50"/>
        <w:tblGridChange w:id="0">
          <w:tblGrid>
            <w:gridCol w:w="1485"/>
            <w:gridCol w:w="735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0">
            <w:pPr>
              <w:spacing w:after="240" w:lineRule="auto"/>
              <w:jc w:val="center"/>
              <w:rPr>
                <w:color w:val="1f2328"/>
                <w:sz w:val="24"/>
                <w:szCs w:val="24"/>
                <w:highlight w:val="white"/>
              </w:rPr>
            </w:pPr>
            <w:r w:rsidDel="00000000" w:rsidR="00000000" w:rsidRPr="00000000">
              <w:rPr>
                <w:color w:val="1f2328"/>
                <w:sz w:val="24"/>
                <w:szCs w:val="24"/>
                <w:highlight w:val="white"/>
                <w:rtl w:val="0"/>
              </w:rPr>
              <w:t xml:space="preserve">Term</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1">
            <w:pPr>
              <w:spacing w:after="240" w:lineRule="auto"/>
              <w:jc w:val="center"/>
              <w:rPr>
                <w:color w:val="1f2328"/>
                <w:sz w:val="24"/>
                <w:szCs w:val="24"/>
                <w:highlight w:val="white"/>
              </w:rPr>
            </w:pPr>
            <w:r w:rsidDel="00000000" w:rsidR="00000000" w:rsidRPr="00000000">
              <w:rPr>
                <w:color w:val="1f2328"/>
                <w:sz w:val="24"/>
                <w:szCs w:val="24"/>
                <w:highlight w:val="white"/>
                <w:rtl w:val="0"/>
              </w:rPr>
              <w:t xml:space="preserve">Meaning</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2">
            <w:pPr>
              <w:spacing w:after="240" w:lineRule="auto"/>
              <w:rPr>
                <w:color w:val="1f2328"/>
                <w:sz w:val="24"/>
                <w:szCs w:val="24"/>
                <w:highlight w:val="white"/>
              </w:rPr>
            </w:pPr>
            <w:r w:rsidDel="00000000" w:rsidR="00000000" w:rsidRPr="00000000">
              <w:rPr>
                <w:color w:val="1f2328"/>
                <w:sz w:val="24"/>
                <w:szCs w:val="24"/>
                <w:highlight w:val="white"/>
                <w:rtl w:val="0"/>
              </w:rPr>
              <w:t xml:space="preserve">Engine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3">
            <w:pPr>
              <w:spacing w:after="240" w:lineRule="auto"/>
              <w:rPr>
                <w:color w:val="1f2328"/>
                <w:sz w:val="24"/>
                <w:szCs w:val="24"/>
                <w:highlight w:val="white"/>
              </w:rPr>
            </w:pPr>
            <w:r w:rsidDel="00000000" w:rsidR="00000000" w:rsidRPr="00000000">
              <w:rPr>
                <w:color w:val="1f2328"/>
                <w:sz w:val="24"/>
                <w:szCs w:val="24"/>
                <w:highlight w:val="white"/>
                <w:rtl w:val="0"/>
              </w:rPr>
              <w:t xml:space="preserve">Containerized host for one or more operations</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4">
            <w:pPr>
              <w:spacing w:after="240" w:lineRule="auto"/>
              <w:rPr>
                <w:color w:val="1f2328"/>
                <w:sz w:val="24"/>
                <w:szCs w:val="24"/>
                <w:highlight w:val="white"/>
              </w:rPr>
            </w:pPr>
            <w:r w:rsidDel="00000000" w:rsidR="00000000" w:rsidRPr="00000000">
              <w:rPr>
                <w:color w:val="1f2328"/>
                <w:sz w:val="24"/>
                <w:szCs w:val="24"/>
                <w:highlight w:val="white"/>
                <w:rtl w:val="0"/>
              </w:rPr>
              <w:t xml:space="preserve">Operation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5">
            <w:pPr>
              <w:spacing w:after="240" w:lineRule="auto"/>
              <w:rPr>
                <w:color w:val="1f2328"/>
                <w:sz w:val="24"/>
                <w:szCs w:val="24"/>
                <w:highlight w:val="white"/>
              </w:rPr>
            </w:pPr>
            <w:r w:rsidDel="00000000" w:rsidR="00000000" w:rsidRPr="00000000">
              <w:rPr>
                <w:color w:val="1f2328"/>
                <w:sz w:val="24"/>
                <w:szCs w:val="24"/>
                <w:highlight w:val="white"/>
                <w:rtl w:val="0"/>
              </w:rPr>
              <w:t xml:space="preserve">A unit of processing with parameters, optional file inputs, and optional file outputs</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6">
            <w:pPr>
              <w:spacing w:after="240" w:lineRule="auto"/>
              <w:rPr>
                <w:color w:val="1f2328"/>
                <w:sz w:val="24"/>
                <w:szCs w:val="24"/>
                <w:highlight w:val="white"/>
              </w:rPr>
            </w:pPr>
            <w:r w:rsidDel="00000000" w:rsidR="00000000" w:rsidRPr="00000000">
              <w:rPr>
                <w:color w:val="1f2328"/>
                <w:sz w:val="24"/>
                <w:szCs w:val="24"/>
                <w:highlight w:val="white"/>
                <w:rtl w:val="0"/>
              </w:rPr>
              <w:t xml:space="preserve">Definition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7">
            <w:pPr>
              <w:spacing w:after="240" w:lineRule="auto"/>
              <w:rPr>
                <w:color w:val="1f2328"/>
                <w:sz w:val="24"/>
                <w:szCs w:val="24"/>
                <w:highlight w:val="white"/>
              </w:rPr>
            </w:pPr>
            <w:r w:rsidDel="00000000" w:rsidR="00000000" w:rsidRPr="00000000">
              <w:rPr>
                <w:color w:val="1f2328"/>
                <w:sz w:val="24"/>
                <w:szCs w:val="24"/>
                <w:highlight w:val="white"/>
                <w:rtl w:val="0"/>
              </w:rPr>
              <w:t xml:space="preserve">Declarative engine/operation/deployment metadata used for provisioning</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8">
            <w:pPr>
              <w:spacing w:after="240" w:lineRule="auto"/>
              <w:rPr>
                <w:color w:val="1f2328"/>
                <w:sz w:val="24"/>
                <w:szCs w:val="24"/>
                <w:highlight w:val="white"/>
              </w:rPr>
            </w:pPr>
            <w:r w:rsidDel="00000000" w:rsidR="00000000" w:rsidRPr="00000000">
              <w:rPr>
                <w:color w:val="1f2328"/>
                <w:sz w:val="24"/>
                <w:szCs w:val="24"/>
                <w:highlight w:val="white"/>
                <w:rtl w:val="0"/>
              </w:rPr>
              <w:t xml:space="preserve">Procedure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9">
            <w:pPr>
              <w:spacing w:after="240" w:lineRule="auto"/>
              <w:rPr>
                <w:color w:val="1f2328"/>
                <w:sz w:val="24"/>
                <w:szCs w:val="24"/>
                <w:highlight w:val="white"/>
              </w:rPr>
            </w:pPr>
            <w:r w:rsidDel="00000000" w:rsidR="00000000" w:rsidRPr="00000000">
              <w:rPr>
                <w:color w:val="1f2328"/>
                <w:sz w:val="24"/>
                <w:szCs w:val="24"/>
                <w:highlight w:val="white"/>
                <w:rtl w:val="0"/>
              </w:rPr>
              <w:t xml:space="preserve">Deployable executable workflow endpoint used in execution scenarios</w:t>
            </w:r>
          </w:p>
        </w:tc>
      </w:tr>
    </w:tbl>
    <w:p w:rsidR="00000000" w:rsidDel="00000000" w:rsidP="00000000" w:rsidRDefault="00000000" w:rsidRPr="00000000" w14:paraId="0000004A">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js43v6swkvlm" w:id="8"/>
      <w:bookmarkEnd w:id="8"/>
      <w:r w:rsidDel="00000000" w:rsidR="00000000" w:rsidRPr="00000000">
        <w:rPr>
          <w:color w:val="1f2328"/>
          <w:sz w:val="54"/>
          <w:szCs w:val="54"/>
          <w:rtl w:val="0"/>
        </w:rPr>
        <w:t xml:space="preserve">Deployment Quotas</w:t>
      </w:r>
    </w:p>
    <w:p w:rsidR="00000000" w:rsidDel="00000000" w:rsidP="00000000" w:rsidRDefault="00000000" w:rsidRPr="00000000" w14:paraId="0000004B">
      <w:pPr>
        <w:shd w:fill="ffffff" w:val="clear"/>
        <w:spacing w:after="240" w:lineRule="auto"/>
        <w:rPr>
          <w:color w:val="1f2328"/>
          <w:sz w:val="24"/>
          <w:szCs w:val="24"/>
        </w:rPr>
      </w:pPr>
      <w:r w:rsidDel="00000000" w:rsidR="00000000" w:rsidRPr="00000000">
        <w:rPr>
          <w:color w:val="1f2328"/>
          <w:sz w:val="24"/>
          <w:szCs w:val="24"/>
          <w:rtl w:val="0"/>
        </w:rPr>
        <w:t xml:space="preserve">Deployments are subject to the quotas defined for your subscription. These quotas include limits on the amount of CPU and memory that can be used across all Deployments in your subscription.</w:t>
      </w:r>
    </w:p>
    <w:p w:rsidR="00000000" w:rsidDel="00000000" w:rsidP="00000000" w:rsidRDefault="00000000" w:rsidRPr="00000000" w14:paraId="0000004C">
      <w:pPr>
        <w:shd w:fill="ffffff" w:val="clear"/>
        <w:spacing w:after="240" w:lineRule="auto"/>
        <w:rPr>
          <w:color w:val="1f2328"/>
          <w:sz w:val="24"/>
          <w:szCs w:val="24"/>
        </w:rPr>
      </w:pPr>
      <w:r w:rsidDel="00000000" w:rsidR="00000000" w:rsidRPr="00000000">
        <w:rPr>
          <w:color w:val="1f2328"/>
          <w:sz w:val="24"/>
          <w:szCs w:val="24"/>
          <w:rtl w:val="0"/>
        </w:rPr>
        <w:t xml:space="preserve">The default quotas are:</w:t>
      </w:r>
    </w:p>
    <w:tbl>
      <w:tblPr>
        <w:tblStyle w:val="Table2"/>
        <w:tblW w:w="2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35"/>
        <w:tblGridChange w:id="0">
          <w:tblGrid>
            <w:gridCol w:w="1350"/>
            <w:gridCol w:w="103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D">
            <w:pPr>
              <w:spacing w:after="240" w:lineRule="auto"/>
              <w:jc w:val="center"/>
              <w:rPr>
                <w:color w:val="1f2328"/>
                <w:sz w:val="24"/>
                <w:szCs w:val="24"/>
                <w:highlight w:val="white"/>
              </w:rPr>
            </w:pPr>
            <w:r w:rsidDel="00000000" w:rsidR="00000000" w:rsidRPr="00000000">
              <w:rPr>
                <w:color w:val="1f2328"/>
                <w:sz w:val="24"/>
                <w:szCs w:val="24"/>
                <w:highlight w:val="white"/>
                <w:rtl w:val="0"/>
              </w:rPr>
              <w:t xml:space="preserve">Property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E">
            <w:pPr>
              <w:spacing w:after="240" w:lineRule="auto"/>
              <w:jc w:val="center"/>
              <w:rPr>
                <w:color w:val="1f2328"/>
                <w:sz w:val="24"/>
                <w:szCs w:val="24"/>
                <w:highlight w:val="white"/>
              </w:rPr>
            </w:pPr>
            <w:r w:rsidDel="00000000" w:rsidR="00000000" w:rsidRPr="00000000">
              <w:rPr>
                <w:color w:val="1f2328"/>
                <w:sz w:val="24"/>
                <w:szCs w:val="24"/>
                <w:highlight w:val="white"/>
                <w:rtl w:val="0"/>
              </w:rPr>
              <w:t xml:space="preserve">Value</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F">
            <w:pPr>
              <w:spacing w:after="240" w:lineRule="auto"/>
              <w:rPr>
                <w:color w:val="1f2328"/>
                <w:sz w:val="24"/>
                <w:szCs w:val="24"/>
                <w:highlight w:val="white"/>
              </w:rPr>
            </w:pPr>
            <w:r w:rsidDel="00000000" w:rsidR="00000000" w:rsidRPr="00000000">
              <w:rPr>
                <w:color w:val="1f2328"/>
                <w:sz w:val="24"/>
                <w:szCs w:val="24"/>
                <w:highlight w:val="white"/>
                <w:rtl w:val="0"/>
              </w:rPr>
              <w:t xml:space="preserve">CPU</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0">
            <w:pPr>
              <w:spacing w:after="240" w:lineRule="auto"/>
              <w:rPr>
                <w:color w:val="1f2328"/>
                <w:sz w:val="24"/>
                <w:szCs w:val="24"/>
                <w:highlight w:val="white"/>
              </w:rPr>
            </w:pPr>
            <w:r w:rsidDel="00000000" w:rsidR="00000000" w:rsidRPr="00000000">
              <w:rPr>
                <w:color w:val="1f2328"/>
                <w:sz w:val="24"/>
                <w:szCs w:val="24"/>
                <w:highlight w:val="white"/>
                <w:rtl w:val="0"/>
              </w:rPr>
              <w:t xml:space="preserve">12</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1">
            <w:pPr>
              <w:spacing w:after="240" w:lineRule="auto"/>
              <w:rPr>
                <w:color w:val="1f2328"/>
                <w:sz w:val="24"/>
                <w:szCs w:val="24"/>
                <w:highlight w:val="white"/>
              </w:rPr>
            </w:pPr>
            <w:r w:rsidDel="00000000" w:rsidR="00000000" w:rsidRPr="00000000">
              <w:rPr>
                <w:color w:val="1f2328"/>
                <w:sz w:val="24"/>
                <w:szCs w:val="24"/>
                <w:highlight w:val="white"/>
                <w:rtl w:val="0"/>
              </w:rPr>
              <w:t xml:space="preserve">Memory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2">
            <w:pPr>
              <w:spacing w:after="240" w:lineRule="auto"/>
              <w:rPr>
                <w:color w:val="1f2328"/>
                <w:sz w:val="24"/>
                <w:szCs w:val="24"/>
                <w:highlight w:val="white"/>
              </w:rPr>
            </w:pPr>
            <w:r w:rsidDel="00000000" w:rsidR="00000000" w:rsidRPr="00000000">
              <w:rPr>
                <w:color w:val="1f2328"/>
                <w:sz w:val="24"/>
                <w:szCs w:val="24"/>
                <w:highlight w:val="white"/>
                <w:rtl w:val="0"/>
              </w:rPr>
              <w:t xml:space="preserve">80 GB</w:t>
            </w:r>
          </w:p>
        </w:tc>
      </w:tr>
    </w:tbl>
    <w:p w:rsidR="00000000" w:rsidDel="00000000" w:rsidP="00000000" w:rsidRDefault="00000000" w:rsidRPr="00000000" w14:paraId="00000053">
      <w:pPr>
        <w:shd w:fill="ffffff" w:val="clear"/>
        <w:spacing w:after="240" w:lineRule="auto"/>
        <w:rPr>
          <w:color w:val="1f2328"/>
          <w:sz w:val="24"/>
          <w:szCs w:val="24"/>
        </w:rPr>
      </w:pPr>
      <w:r w:rsidDel="00000000" w:rsidR="00000000" w:rsidRPr="00000000">
        <w:rPr>
          <w:color w:val="1f2328"/>
          <w:sz w:val="24"/>
          <w:szCs w:val="24"/>
          <w:rtl w:val="0"/>
        </w:rPr>
        <w:t xml:space="preserve">Within these limits, you could define one Deployment that has 12 CPU and 80 GB of memory and can scale to a maximum of one concurrent instance for that Deployment. Or you could define one Deployment with 1 CPU and 6.6 GB of memory that can scale to a maximum of 12 concurrent instances. Any combination of Deployments is possible as long as the total CPU and memory used by all Deployments does not exceed the quotas defined for your subscription.</w:t>
      </w:r>
    </w:p>
    <w:p w:rsidR="00000000" w:rsidDel="00000000" w:rsidP="00000000" w:rsidRDefault="00000000" w:rsidRPr="00000000" w14:paraId="00000054">
      <w:pPr>
        <w:shd w:fill="ffffff" w:val="clear"/>
        <w:spacing w:after="240" w:lineRule="auto"/>
        <w:rPr>
          <w:color w:val="1f2328"/>
          <w:sz w:val="24"/>
          <w:szCs w:val="24"/>
        </w:rPr>
      </w:pPr>
      <w:r w:rsidDel="00000000" w:rsidR="00000000" w:rsidRPr="00000000">
        <w:rPr>
          <w:color w:val="1f2328"/>
          <w:sz w:val="24"/>
          <w:szCs w:val="24"/>
          <w:rtl w:val="0"/>
        </w:rPr>
        <w:t xml:space="preserve">If your combined Deployments exceed these quotas, you may experience failures when attempting to define Deployments. To request an increase in your quotas, contact </w:t>
      </w:r>
      <w:hyperlink r:id="rId19">
        <w:r w:rsidDel="00000000" w:rsidR="00000000" w:rsidRPr="00000000">
          <w:rPr>
            <w:color w:val="0969da"/>
            <w:sz w:val="24"/>
            <w:szCs w:val="24"/>
            <w:u w:val="single"/>
            <w:rtl w:val="0"/>
          </w:rPr>
          <w:t xml:space="preserve">Trimble Support</w:t>
        </w:r>
      </w:hyperlink>
      <w:r w:rsidDel="00000000" w:rsidR="00000000" w:rsidRPr="00000000">
        <w:rPr>
          <w:color w:val="1f2328"/>
          <w:sz w:val="24"/>
          <w:szCs w:val="24"/>
          <w:rtl w:val="0"/>
        </w:rPr>
        <w:t xml:space="preserve">.</w:t>
      </w:r>
    </w:p>
    <w:p w:rsidR="00000000" w:rsidDel="00000000" w:rsidP="00000000" w:rsidRDefault="00000000" w:rsidRPr="00000000" w14:paraId="00000055">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nsole.stage.api.trimblecloud.com/home/applications/list" TargetMode="External"/><Relationship Id="rId10" Type="http://schemas.openxmlformats.org/officeDocument/2006/relationships/hyperlink" Target="https://cisjira.trimble.com/servicedesk/customer/portal/23/create/260" TargetMode="External"/><Relationship Id="rId13" Type="http://schemas.openxmlformats.org/officeDocument/2006/relationships/hyperlink" Target="https://docs.trimblecloud.com/trimble-identity/content/how-to-guides/tid-test-automation/" TargetMode="External"/><Relationship Id="rId12" Type="http://schemas.openxmlformats.org/officeDocument/2006/relationships/hyperlink" Target="https://console.stage.api.trimblecloud.com/home/applications/cbe87835-9769-4200-9df7-aa10ece75050/gateway/trimble-pre-prod/summary?applicationName=engine-te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ocker.com/accounts/trimble" TargetMode="External"/><Relationship Id="rId15" Type="http://schemas.openxmlformats.org/officeDocument/2006/relationships/hyperlink" Target="https://artifactory.trimble.tools/ui/packages" TargetMode="External"/><Relationship Id="rId14" Type="http://schemas.openxmlformats.org/officeDocument/2006/relationships/image" Target="media/image1.png"/><Relationship Id="rId17" Type="http://schemas.openxmlformats.org/officeDocument/2006/relationships/hyperlink" Target="https://github.com/trimble-oss/Trimble.YourEngine.Engine.git" TargetMode="External"/><Relationship Id="rId16" Type="http://schemas.openxmlformats.org/officeDocument/2006/relationships/hyperlink" Target="https://docs.github.com/en/authentication/connecting-to-github-with-ssh/generating-a-new-ssh-key-and-adding-it-to-the-ssh-agent" TargetMode="External"/><Relationship Id="rId5" Type="http://schemas.openxmlformats.org/officeDocument/2006/relationships/styles" Target="styles.xml"/><Relationship Id="rId19" Type="http://schemas.openxmlformats.org/officeDocument/2006/relationships/hyperlink" Target="https://docs.trimblecloud.com/resources-info/content/support/" TargetMode="External"/><Relationship Id="rId6" Type="http://schemas.openxmlformats.org/officeDocument/2006/relationships/hyperlink" Target="https://dotnet.microsoft.com/download" TargetMode="External"/><Relationship Id="rId18" Type="http://schemas.openxmlformats.org/officeDocument/2006/relationships/hyperlink" Target="https://automatic-adventure-zg9wge8.pages.github.io/" TargetMode="External"/><Relationship Id="rId7" Type="http://schemas.openxmlformats.org/officeDocument/2006/relationships/hyperlink" Target="https://github.com/trimble-oss/Trimble.Engines.Development.Framework/tree/feature/update-docs" TargetMode="External"/><Relationship Id="rId8" Type="http://schemas.openxmlformats.org/officeDocument/2006/relationships/hyperlink" Target="https://www.curso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