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复杂排版转换器测试文档</w:t>
      </w:r>
    </w:p>
    <w:p>
      <w:pPr>
        <w:jc w:val="center"/>
      </w:pPr>
      <w:r>
        <w:rPr>
          <w:i/>
          <w:color w:val="5A5A5A"/>
          <w:sz w:val="24"/>
        </w:rPr>
        <w:t>DOCX fixture for Markdown and TXT conversion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r/>
            <w:r>
              <w:rPr>
                <w:b/>
                <w:color w:val="1F4E79"/>
                <w:sz w:val="20"/>
              </w:rPr>
              <w:t>测试目的</w:t>
            </w:r>
          </w:p>
        </w:tc>
      </w:tr>
      <w:tr>
        <w:tc>
          <w:tcPr>
            <w:tcW w:type="dxa" w:w="10166"/>
            <w:shd w:fill="EAF2F8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pPr>
              <w:pStyle w:val="CalloutText"/>
            </w:pPr>
            <w:r/>
            <w:r>
              <w:t>本文件故意包含标题层级、混合中英文、复杂表格、合并单元格、嵌套列表、代码块、字符画、图片、引用框、脚注式说明和横向宽表，用于测试转换器对 .docx 的转换效果。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/>
            <w:r>
              <w:rPr>
                <w:b/>
                <w:sz w:val="18"/>
              </w:rPr>
              <w:t>文档类型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8"/>
              </w:rPr>
              <w:t>复杂格式样例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b/>
                <w:sz w:val="18"/>
              </w:rPr>
              <w:t>生成日期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2541"/>
            <w:shd w:fill="D9EAF7"/>
          </w:tcPr>
          <w:p>
            <w:r/>
            <w:r>
              <w:rPr>
                <w:b/>
                <w:sz w:val="18"/>
              </w:rPr>
              <w:t>语言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8"/>
              </w:rPr>
              <w:t>中文 + English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b/>
                <w:sz w:val="18"/>
              </w:rPr>
              <w:t>目标格式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8"/>
              </w:rPr>
              <w:t>Markdown / TXT</w:t>
            </w:r>
          </w:p>
        </w:tc>
      </w:tr>
      <w:tr>
        <w:tc>
          <w:tcPr>
            <w:tcW w:type="dxa" w:w="2541"/>
            <w:shd w:fill="D9EAF7"/>
          </w:tcPr>
          <w:p>
            <w:r/>
            <w:r>
              <w:rPr>
                <w:b/>
                <w:sz w:val="18"/>
              </w:rPr>
              <w:t>重点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8"/>
              </w:rPr>
              <w:t>表格、审阅、代码块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8"/>
              </w:rPr>
              <w:t>样式丢失/顺序错乱</w:t>
            </w:r>
          </w:p>
        </w:tc>
      </w:tr>
      <w:tr>
        <w:tc>
          <w:tcPr>
            <w:tcW w:type="dxa" w:w="2541"/>
            <w:shd w:fill="D9EAF7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8"/>
              </w:rPr>
              <w:t>测试用例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b/>
                <w:sz w:val="18"/>
              </w:rPr>
              <w:t>作者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8"/>
              </w:rPr>
              <w:t>ChatGPT generated fixture</w:t>
            </w:r>
          </w:p>
        </w:tc>
      </w:tr>
    </w:tbl>
    <w:p>
      <w:r>
        <w:br w:type="page"/>
      </w:r>
    </w:p>
    <w:p>
      <w:pPr>
        <w:pStyle w:val="Heading1"/>
      </w:pPr>
      <w:r>
        <w:t>目录 / Static Table of Contents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1. 混合段落与行内样式</w:t>
            </w:r>
          </w:p>
        </w:tc>
        <w:tc>
          <w:tcPr>
            <w:tcW w:type="dxa" w:w="5083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5083"/>
          </w:tcPr>
          <w:p>
            <w:r>
              <w:t>2. 表格压力测试</w:t>
            </w:r>
          </w:p>
        </w:tc>
        <w:tc>
          <w:tcPr>
            <w:tcW w:type="dxa" w:w="5083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5083"/>
          </w:tcPr>
          <w:p>
            <w:r>
              <w:t>3. 审阅路由样例</w:t>
            </w:r>
          </w:p>
        </w:tc>
        <w:tc>
          <w:tcPr>
            <w:tcW w:type="dxa" w:w="5083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5083"/>
          </w:tcPr>
          <w:p>
            <w:r>
              <w:t>4. 代码块、字符画与原样展示</w:t>
            </w:r>
          </w:p>
        </w:tc>
        <w:tc>
          <w:tcPr>
            <w:tcW w:type="dxa" w:w="5083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5083"/>
          </w:tcPr>
          <w:p>
            <w:r>
              <w:t>5. 横向宽表与小统计图</w:t>
            </w:r>
          </w:p>
        </w:tc>
        <w:tc>
          <w:tcPr>
            <w:tcW w:type="dxa" w:w="5083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5083"/>
          </w:tcPr>
          <w:p>
            <w:r>
              <w:t>附录 A：转换验收清单</w:t>
            </w:r>
          </w:p>
        </w:tc>
        <w:tc>
          <w:tcPr>
            <w:tcW w:type="dxa" w:w="5083"/>
          </w:tcPr>
          <w:p>
            <w:pPr>
              <w:jc w:val="right"/>
            </w:pPr>
            <w:r>
              <w:t>8</w:t>
            </w:r>
          </w:p>
        </w:tc>
      </w:tr>
    </w:tbl>
    <w:p>
      <w:r>
        <w:t>注：此目录为静态目录，用于测试转换器是否保留目录文本和页码列。</w:t>
      </w:r>
    </w:p>
    <w:p>
      <w:pPr>
        <w:pStyle w:val="Heading1"/>
      </w:pPr>
      <w:r>
        <w:t>1. 混合段落与行内样式</w:t>
      </w:r>
    </w:p>
    <w:p>
      <w:r>
        <w:t>这一段用于测试行内格式：</w:t>
      </w:r>
      <w:r>
        <w:rPr>
          <w:b/>
        </w:rPr>
        <w:t>粗体</w:t>
      </w:r>
      <w:r>
        <w:t>、</w:t>
      </w:r>
      <w:r>
        <w:rPr>
          <w:i/>
        </w:rPr>
        <w:t>斜体</w:t>
      </w:r>
      <w:r>
        <w:t>、</w:t>
      </w:r>
      <w:r>
        <w:rPr>
          <w:u w:val="single"/>
        </w:rPr>
        <w:t>下划线</w:t>
      </w:r>
      <w:r>
        <w:t>、</w:t>
      </w:r>
      <w:r>
        <w:rPr>
          <w:color w:val="C00000"/>
        </w:rPr>
        <w:t>红色警示</w:t>
      </w:r>
      <w:r>
        <w:t>、</w:t>
      </w:r>
      <w:r>
        <w:rPr>
          <w:highlight w:val="yellow"/>
        </w:rPr>
        <w:t>高亮文字</w:t>
      </w:r>
      <w:r>
        <w:t>、English words, numbers 12345, and symbols → ← ✓ ⚠。</w:t>
      </w:r>
    </w:p>
    <w:p>
      <w:r>
        <w:t>脚注式说明：</w:t>
      </w:r>
      <w:r>
        <w:rPr>
          <w:sz w:val="16"/>
        </w:rPr>
        <w:t>这里不是 Word 真实脚注，而是正文中的脚注样式文本，用于测试转换器能否保留小号说明。</w:t>
      </w:r>
    </w:p>
    <w:p>
      <w:pPr>
        <w:pStyle w:val="Heading2"/>
      </w:pPr>
      <w:r>
        <w:t>1.1 多级列表</w:t>
      </w:r>
    </w:p>
    <w:p>
      <w:pPr>
        <w:pStyle w:val="ListNumber"/>
      </w:pPr>
      <w:r>
        <w:t>读取多个 Markdown/TXT 文件</w:t>
      </w:r>
    </w:p>
    <w:p>
      <w:pPr>
        <w:pStyle w:val="ListNumber"/>
      </w:pPr>
      <w:r>
        <w:t>筛选后形成临时书单</w:t>
      </w:r>
    </w:p>
    <w:p>
      <w:pPr>
        <w:pStyle w:val="ListNumber"/>
      </w:pPr>
      <w:r>
        <w:t>选中文本生成 AI 批复</w:t>
      </w:r>
    </w:p>
    <w:p>
      <w:pPr>
        <w:pStyle w:val="ListNumber"/>
      </w:pPr>
      <w:r>
        <w:t>导出 review.md</w:t>
      </w:r>
    </w:p>
    <w:p>
      <w:pPr>
        <w:pStyle w:val="ListBullet2"/>
      </w:pPr>
      <w:r>
        <w:t>保留 relative_path</w:t>
      </w:r>
    </w:p>
    <w:p>
      <w:pPr>
        <w:pStyle w:val="ListBullet2"/>
      </w:pPr>
      <w:r>
        <w:t>保留段落编号</w:t>
      </w:r>
    </w:p>
    <w:p>
      <w:pPr>
        <w:pStyle w:val="ListBullet2"/>
      </w:pPr>
      <w:r>
        <w:t>保留引用原文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r/>
            <w:r>
              <w:rPr>
                <w:b/>
                <w:color w:val="1F4E79"/>
                <w:sz w:val="20"/>
              </w:rPr>
              <w:t>批注框 / Callout</w:t>
            </w:r>
          </w:p>
        </w:tc>
      </w:tr>
      <w:tr>
        <w:tc>
          <w:tcPr>
            <w:tcW w:type="dxa" w:w="10166"/>
            <w:shd w:fill="FFF2CC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pPr>
              <w:pStyle w:val="CalloutText"/>
            </w:pPr>
            <w:r/>
            <w:r>
              <w:t>如果转换器只输出纯文本，也应尽量保留“批注框标题 + 批注内容”的顺序。若转换为 Markdown，可用 blockquote 或加粗标题表示。</w:t>
            </w:r>
          </w:p>
        </w:tc>
      </w:tr>
    </w:tbl>
    <w:p/>
    <w:p>
      <w:pPr>
        <w:pStyle w:val="Heading1"/>
      </w:pPr>
      <w:r>
        <w:t>2. 表格压力测试</w:t>
      </w:r>
    </w:p>
    <w:p>
      <w:r>
        <w:t>本节包含合并单元格、着色、嵌套内容和不同列宽。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0165"/>
            <w:gridSpan w:val="5"/>
            <w:shd w:fill="1F4E79"/>
          </w:tcPr>
          <w:p>
            <w:r/>
            <w:r>
              <w:rPr>
                <w:b/>
                <w:color w:val="FFFFFF"/>
                <w:sz w:val="20"/>
              </w:rPr>
              <w:t>表 1：阅读器功能矩阵（合并表头）</w:t>
            </w:r>
          </w:p>
        </w:tc>
      </w:tr>
      <w:tr>
        <w:tc>
          <w:tcPr>
            <w:tcW w:type="dxa" w:w="2033"/>
            <w:shd w:fill="D9EAF7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033"/>
            <w:shd w:fill="D9EAF7"/>
          </w:tcPr>
          <w:p>
            <w:r/>
            <w:r>
              <w:rPr>
                <w:b/>
                <w:sz w:val="18"/>
              </w:rPr>
              <w:t>输入</w:t>
            </w:r>
          </w:p>
        </w:tc>
        <w:tc>
          <w:tcPr>
            <w:tcW w:type="dxa" w:w="2033"/>
            <w:shd w:fill="D9EAF7"/>
          </w:tcPr>
          <w:p>
            <w:r/>
            <w:r>
              <w:rPr>
                <w:b/>
                <w:sz w:val="18"/>
              </w:rPr>
              <w:t>HTML 表现</w:t>
            </w:r>
          </w:p>
        </w:tc>
        <w:tc>
          <w:tcPr>
            <w:tcW w:type="dxa" w:w="2033"/>
            <w:shd w:fill="D9EAF7"/>
          </w:tcPr>
          <w:p>
            <w:r/>
            <w:r>
              <w:rPr>
                <w:b/>
                <w:sz w:val="18"/>
              </w:rPr>
              <w:t>AI 交互</w:t>
            </w:r>
          </w:p>
        </w:tc>
        <w:tc>
          <w:tcPr>
            <w:tcW w:type="dxa" w:w="2033"/>
            <w:shd w:fill="D9EAF7"/>
          </w:tcPr>
          <w:p>
            <w:r/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033"/>
            <w:shd w:fill="F2F2F2"/>
          </w:tcPr>
          <w:p>
            <w:r/>
            <w:r>
              <w:rPr>
                <w:b w:val="0"/>
                <w:sz w:val="17"/>
              </w:rPr>
              <w:t>阅读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md/txt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标题、段落、目录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无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顺序错乱</w:t>
            </w:r>
          </w:p>
        </w:tc>
      </w:tr>
      <w:tr>
        <w:tc>
          <w:tcPr>
            <w:tcW w:type="dxa" w:w="2033"/>
            <w:shd w:fill="F2F2F2"/>
          </w:tcPr>
          <w:p>
            <w:r/>
            <w:r>
              <w:rPr>
                <w:b w:val="0"/>
                <w:sz w:val="17"/>
              </w:rPr>
              <w:t>筛选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关键词/路径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visibleChapters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无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翻页范围错误</w:t>
            </w:r>
          </w:p>
        </w:tc>
      </w:tr>
      <w:tr>
        <w:tc>
          <w:tcPr>
            <w:tcW w:type="dxa" w:w="2033"/>
            <w:shd w:fill="F2F2F2"/>
          </w:tcPr>
          <w:p>
            <w:r/>
            <w:r>
              <w:rPr>
                <w:b w:val="0"/>
                <w:sz w:val="17"/>
              </w:rPr>
              <w:t>审阅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选中文本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dialog 弹窗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review.md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引用丢失</w:t>
            </w:r>
          </w:p>
        </w:tc>
      </w:tr>
      <w:tr>
        <w:tc>
          <w:tcPr>
            <w:tcW w:type="dxa" w:w="2033"/>
            <w:shd w:fill="F2F2F2"/>
          </w:tcPr>
          <w:p>
            <w:r/>
            <w:r>
              <w:rPr>
                <w:b w:val="0"/>
                <w:sz w:val="17"/>
              </w:rPr>
              <w:t>表格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Markdown table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HTML table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可复制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列错位</w:t>
            </w:r>
          </w:p>
        </w:tc>
      </w:tr>
      <w:tr>
        <w:tc>
          <w:tcPr>
            <w:tcW w:type="dxa" w:w="2033"/>
            <w:shd w:fill="F2F2F2"/>
          </w:tcPr>
          <w:p>
            <w:r/>
            <w:r>
              <w:rPr>
                <w:b w:val="0"/>
                <w:sz w:val="17"/>
              </w:rPr>
              <w:t>代码块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fenced block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pre/code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原样引用</w:t>
            </w:r>
          </w:p>
        </w:tc>
        <w:tc>
          <w:tcPr>
            <w:tcW w:type="dxa" w:w="2033"/>
          </w:tcPr>
          <w:p>
            <w:r/>
            <w:r>
              <w:rPr>
                <w:b w:val="0"/>
                <w:sz w:val="17"/>
              </w:rPr>
              <w:t>空格丢失</w:t>
            </w:r>
          </w:p>
        </w:tc>
      </w:tr>
    </w:tbl>
    <w:p>
      <w:r>
        <w:t>嵌套表格样例：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左侧说明：嵌套表格常在转换时丢层级。</w:t>
            </w:r>
          </w:p>
        </w:tc>
        <w:tc>
          <w:tcPr>
            <w:tcW w:type="dxa" w:w="5083"/>
          </w:tcPr>
          <w:p/>
          <w:tbl>
            <w:tblPr>
              <w:tblStyle w:val="LightGrid-Accent2"/>
              <w:tblW w:type="auto" w:w="0"/>
              <w:tblLook w:firstColumn="1" w:firstRow="1" w:lastColumn="0" w:lastRow="0" w:noHBand="0" w:noVBand="1" w:val="04A0"/>
            </w:tblPr>
            <w:tblGrid>
              <w:gridCol w:w="2541"/>
              <w:gridCol w:w="2541"/>
            </w:tblGrid>
            <w:tr>
              <w:tc>
                <w:tcPr>
                  <w:tcW w:type="dxa" w:w="2541"/>
                </w:tcPr>
                <w:p>
                  <w:r>
                    <w:t>key_1</w:t>
                  </w:r>
                </w:p>
              </w:tc>
              <w:tc>
                <w:tcPr>
                  <w:tcW w:type="dxa" w:w="2541"/>
                </w:tcPr>
                <w:p>
                  <w:r>
                    <w:t>value_1</w:t>
                  </w:r>
                </w:p>
              </w:tc>
            </w:tr>
            <w:tr>
              <w:tc>
                <w:tcPr>
                  <w:tcW w:type="dxa" w:w="2541"/>
                </w:tcPr>
                <w:p>
                  <w:r>
                    <w:t>key_2</w:t>
                  </w:r>
                </w:p>
              </w:tc>
              <w:tc>
                <w:tcPr>
                  <w:tcW w:type="dxa" w:w="2541"/>
                </w:tcPr>
                <w:p>
                  <w:r>
                    <w:t>value_2</w:t>
                  </w:r>
                </w:p>
              </w:tc>
            </w:tr>
            <w:tr>
              <w:tc>
                <w:tcPr>
                  <w:tcW w:type="dxa" w:w="2541"/>
                </w:tcPr>
                <w:p>
                  <w:r>
                    <w:t>key_3</w:t>
                  </w:r>
                </w:p>
              </w:tc>
              <w:tc>
                <w:tcPr>
                  <w:tcW w:type="dxa" w:w="2541"/>
                </w:tcPr>
                <w:p>
                  <w:r>
                    <w:t>value_3</w:t>
                  </w:r>
                </w:p>
              </w:tc>
            </w:tr>
          </w:tbl>
          <w:p/>
        </w:tc>
      </w:tr>
    </w:tbl>
    <w:p>
      <w:pPr>
        <w:pStyle w:val="Heading1"/>
      </w:pPr>
      <w:r>
        <w:t>3. 审阅路由样例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r/>
            <w:r>
              <w:rPr>
                <w:b/>
                <w:color w:val="1F4E79"/>
                <w:sz w:val="20"/>
              </w:rPr>
              <w:t>审阅项 001：修改</w:t>
            </w:r>
          </w:p>
        </w:tc>
      </w:tr>
      <w:tr>
        <w:tc>
          <w:tcPr>
            <w:tcW w:type="dxa" w:w="10166"/>
            <w:shd w:fill="E2F0D9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pPr>
              <w:pStyle w:val="CalloutText"/>
            </w:pPr>
            <w:r/>
            <w:r>
              <w:t>文件：正文/round-02.md</w:t>
              <w:br/>
              <w:t>位置：第 6 段</w:t>
              <w:br/>
              <w:t>引用：这里是一段需要被 AI 修改的原文。</w:t>
              <w:br/>
              <w:t>用户批复：保留意思，但改得更自然，不要像宣传语。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r/>
            <w:r>
              <w:rPr>
                <w:b/>
                <w:color w:val="1F4E79"/>
                <w:sz w:val="20"/>
              </w:rPr>
              <w:t>审阅项 002：登记</w:t>
            </w:r>
          </w:p>
        </w:tc>
      </w:tr>
      <w:tr>
        <w:tc>
          <w:tcPr>
            <w:tcW w:type="dxa" w:w="10166"/>
            <w:shd w:fill="E2F0D9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pPr>
              <w:pStyle w:val="CalloutText"/>
            </w:pPr>
            <w:r/>
            <w:r>
              <w:t>文件：设定/world-01.md</w:t>
              <w:br/>
              <w:t>位置：第 2 段</w:t>
              <w:br/>
              <w:t>引用：本地阅读器只读，不写回源文件。</w:t>
              <w:br/>
              <w:t>用户批复：登记为安全边界原则，放入 README 的安全说明。</w:t>
            </w:r>
          </w:p>
        </w:tc>
      </w:tr>
    </w:tbl>
    <w:p/>
    <w:p>
      <w:r>
        <w:t>以下字段顺序应在转换后尽量保留：文件路径 → 段落编号 → 引用原文 → 动作 → 用户批复。</w:t>
      </w:r>
    </w:p>
    <w:p>
      <w:pPr>
        <w:pStyle w:val="Heading1"/>
      </w:pPr>
      <w:r>
        <w:t>4. 代码块、字符画与原样展示</w:t>
      </w:r>
    </w:p>
    <w:p>
      <w:pPr>
        <w:pStyle w:val="CodeBlock"/>
      </w:pPr>
      <w:r>
        <w:t>review:</w:t>
        <w:br/>
        <w:t xml:space="preserve">  enabled: true</w:t>
        <w:br/>
        <w:t xml:space="preserve">  actions:</w:t>
        <w:br/>
        <w:t xml:space="preserve">    - 修改</w:t>
        <w:br/>
        <w:t xml:space="preserve">    - 总结</w:t>
        <w:br/>
        <w:t xml:space="preserve">    - 登记</w:t>
        <w:br/>
        <w:t xml:space="preserve">    - 提取</w:t>
        <w:br/>
        <w:br/>
        <w:t># CLI</w:t>
        <w:br/>
        <w:t>python build_reader.py workspace.config.md --dry-run</w:t>
      </w:r>
    </w:p>
    <w:p>
      <w:pPr>
        <w:pStyle w:val="CodeBlock"/>
      </w:pPr>
      <w:r>
        <w:t>+--------------------+      +----------------------+</w:t>
        <w:br/>
        <w:t>|  reader.html       | ---&gt; |  review.md           |</w:t>
        <w:br/>
        <w:t>|  read + filter     |      |  AI-ready tasks      |</w:t>
        <w:br/>
        <w:t>+--------------------+      +----------------------+</w:t>
        <w:br/>
        <w:t xml:space="preserve">          |                            |</w:t>
        <w:br/>
        <w:t xml:space="preserve">          v                            v</w:t>
        <w:br/>
        <w:t xml:space="preserve">   human review                  AI modifies md</w:t>
      </w:r>
    </w:p>
    <w:p>
      <w:r>
        <w:t>要求：字符画不需要被重绘，转换为 Markdown/TXT 时保留等宽块即可。</w:t>
      </w:r>
    </w:p>
    <w:p>
      <w:r>
        <w:br w:type="page"/>
      </w:r>
    </w:p>
    <w:p>
      <w:pPr>
        <w:pStyle w:val="Heading1"/>
      </w:pPr>
      <w:r>
        <w:t>5. 横向宽表与小统计图</w:t>
      </w:r>
    </w:p>
    <w:p>
      <w:r>
        <w:t>下面的图片用于测试转换器是否保留图片占位、图片说明或 alt 文本。</w:t>
      </w:r>
    </w:p>
    <w:p>
      <w:r>
        <w:drawing>
          <wp:inline xmlns:a="http://schemas.openxmlformats.org/drawingml/2006/main" xmlns:pic="http://schemas.openxmlformats.org/drawingml/2006/picture">
            <wp:extent cx="5852160" cy="2731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_chart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1：HTML 友好小统计示意图。</w:t>
      </w:r>
    </w:p>
    <w:p>
      <w:pPr>
        <w:sectPr>
          <w:footerReference w:type="default" r:id="rId9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2"/>
      </w:pPr>
      <w:r>
        <w:t>5.1 横向宽表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782"/>
            <w:shd w:fill="D9EAD3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/>
                <w:sz w:val="16"/>
              </w:rPr>
              <w:t>文件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/>
                <w:sz w:val="16"/>
              </w:rPr>
              <w:t>路径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/>
                <w:sz w:val="16"/>
              </w:rPr>
              <w:t>类型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/>
                <w:sz w:val="16"/>
              </w:rPr>
              <w:t>字数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/>
                <w:sz w:val="16"/>
              </w:rPr>
              <w:t>筛选命中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/>
                <w:sz w:val="16"/>
              </w:rPr>
              <w:t>批复数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/>
                <w:sz w:val="16"/>
              </w:rPr>
              <w:t>状态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001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round-01.md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正文/part-2/round-01.md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937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已批复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002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round-02.md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正文/part-3/round-02.md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.txt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974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 w:val="0"/>
                <w:sz w:val="15"/>
              </w:rPr>
              <w:t>已验收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003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round-03.md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正文/part-1/round-03.md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1011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否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782"/>
            <w:shd w:fill="FCE4D6"/>
          </w:tcPr>
          <w:p>
            <w:r/>
            <w:r>
              <w:rPr>
                <w:b w:val="0"/>
                <w:sz w:val="15"/>
              </w:rPr>
              <w:t>待处理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004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round-04.md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正文/part-2/round-04.md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.txt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1048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已批复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005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round-05.md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正文/part-3/round-05.md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1085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 w:val="0"/>
                <w:sz w:val="15"/>
              </w:rPr>
              <w:t>已验收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006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round-06.md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正文/part-1/round-06.md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.txt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1122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否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782"/>
            <w:shd w:fill="FCE4D6"/>
          </w:tcPr>
          <w:p>
            <w:r/>
            <w:r>
              <w:rPr>
                <w:b w:val="0"/>
                <w:sz w:val="15"/>
              </w:rPr>
              <w:t>待处理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007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round-07.md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正文/part-2/round-07.md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1159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已批复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008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round-08.md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正文/part-3/round-08.md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.txt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1196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 w:val="0"/>
                <w:sz w:val="15"/>
              </w:rPr>
              <w:t>已验收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009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round-09.md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正文/part-1/round-09.md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1233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否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782"/>
            <w:shd w:fill="FCE4D6"/>
          </w:tcPr>
          <w:p>
            <w:r/>
            <w:r>
              <w:rPr>
                <w:b w:val="0"/>
                <w:sz w:val="15"/>
              </w:rPr>
              <w:t>待处理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010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round-10.md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正文/part-2/round-10.md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.txt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1270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已批复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011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round-11.md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正文/part-3/round-11.md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1307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 w:val="0"/>
                <w:sz w:val="15"/>
              </w:rPr>
              <w:t>已验收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012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round-12.md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正文/part-1/round-12.md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.txt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1344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否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782"/>
            <w:shd w:fill="FCE4D6"/>
          </w:tcPr>
          <w:p>
            <w:r/>
            <w:r>
              <w:rPr>
                <w:b w:val="0"/>
                <w:sz w:val="15"/>
              </w:rPr>
              <w:t>待处理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013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round-13.md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正文/part-2/round-13.md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1381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已批复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014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round-14.md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正文/part-3/round-14.md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.txt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1418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是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782"/>
            <w:shd w:fill="D9EAD3"/>
          </w:tcPr>
          <w:p>
            <w:r/>
            <w:r>
              <w:rPr>
                <w:b w:val="0"/>
                <w:sz w:val="15"/>
              </w:rPr>
              <w:t>已验收</w:t>
            </w:r>
          </w:p>
        </w:tc>
      </w:tr>
      <w:tr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015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round-15.md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正文/part-1/round-15.md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.md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1455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否</w:t>
            </w:r>
          </w:p>
        </w:tc>
        <w:tc>
          <w:tcPr>
            <w:tcW w:type="dxa" w:w="1782"/>
          </w:tcPr>
          <w:p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82"/>
            <w:shd w:fill="FCE4D6"/>
          </w:tcPr>
          <w:p>
            <w:r/>
            <w:r>
              <w:rPr>
                <w:b w:val="0"/>
                <w:sz w:val="15"/>
              </w:rPr>
              <w:t>待处理</w:t>
            </w:r>
          </w:p>
        </w:tc>
      </w:tr>
    </w:tbl>
    <w:p>
      <w:pPr>
        <w:sectPr>
          <w:footerReference w:type="default" r:id="rId11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附录 A：转换验收清单</w:t>
      </w:r>
    </w:p>
    <w:p>
      <w:pPr>
        <w:pStyle w:val="ListBullet"/>
      </w:pPr>
      <w:r>
        <w:t>☐ 标题层级是否保留</w:t>
      </w:r>
    </w:p>
    <w:p>
      <w:pPr>
        <w:pStyle w:val="ListBullet"/>
      </w:pPr>
      <w:r>
        <w:t>☐ 表格是否变成 Markdown 表格或纯文本表格</w:t>
      </w:r>
    </w:p>
    <w:p>
      <w:pPr>
        <w:pStyle w:val="ListBullet"/>
      </w:pPr>
      <w:r>
        <w:t>☐ 合并单元格是否丢失但内容仍在</w:t>
      </w:r>
    </w:p>
    <w:p>
      <w:pPr>
        <w:pStyle w:val="ListBullet"/>
      </w:pPr>
      <w:r>
        <w:t>☐ 代码块空格是否保留</w:t>
      </w:r>
    </w:p>
    <w:p>
      <w:pPr>
        <w:pStyle w:val="ListBullet"/>
      </w:pPr>
      <w:r>
        <w:t>☐ 审阅项顺序是否完整</w:t>
      </w:r>
    </w:p>
    <w:p>
      <w:pPr>
        <w:pStyle w:val="ListBullet"/>
      </w:pPr>
      <w:r>
        <w:t>☐ 图片是否有占位或说明</w:t>
      </w:r>
    </w:p>
    <w:p>
      <w:pPr>
        <w:pStyle w:val="ListBullet"/>
      </w:pPr>
      <w:r>
        <w:t>☐ 横向宽表是否没有吞列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r/>
            <w:r>
              <w:rPr>
                <w:b/>
                <w:color w:val="1F4E79"/>
                <w:sz w:val="20"/>
              </w:rPr>
              <w:t>结束说明</w:t>
            </w:r>
          </w:p>
        </w:tc>
      </w:tr>
      <w:tr>
        <w:tc>
          <w:tcPr>
            <w:tcW w:type="dxa" w:w="10656"/>
            <w:shd w:fill="F2F2F2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</w:tcPr>
          <w:p>
            <w:pPr>
              <w:pStyle w:val="CalloutText"/>
            </w:pPr>
            <w:r/>
            <w:r>
              <w:t>本文件内容为测试用虚构材料，可自由用于转换器、阅读器和审阅路由功能测试。</w:t>
            </w:r>
          </w:p>
        </w:tc>
      </w:tr>
    </w:tbl>
    <w:p/>
    <w:sectPr w:rsidR="00FC693F" w:rsidRPr="0006063C" w:rsidSect="00034616">
      <w:footerReference w:type="default" r:id="rId12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Complex layout test · page </w:t>
    </w:r>
    <w:r>
      <w:fldChar w:fldCharType="begin"/>
      <w:instrText xml:space="preserve">PAGE</w:instrText>
      <w:fldChar w:fldCharType="end"/>
    </w:r>
    <w:r>
      <w:t xml:space="preserve"> / </w:t>
    </w:r>
    <w: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Complex layout test · page </w:t>
    </w:r>
    <w:r>
      <w:fldChar w:fldCharType="begin"/>
      <w:instrText xml:space="preserve">PAGE</w:instrText>
      <w:fldChar w:fldCharType="end"/>
    </w:r>
    <w:r>
      <w:t xml:space="preserve"> / </w:t>
    </w:r>
    <w:r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Complex layout test · page </w:t>
    </w:r>
    <w:r>
      <w:fldChar w:fldCharType="begin"/>
      <w:instrText xml:space="preserve">PAGE</w:instrText>
      <w:fldChar w:fldCharType="end"/>
    </w:r>
    <w: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360"/>
    </w:pPr>
    <w:rPr>
      <w:rFonts w:ascii="Liberation Mono" w:hAnsi="Liberation Mono" w:eastAsia="Noto Sans CJK SC"/>
      <w:sz w:val="17"/>
    </w:rPr>
  </w:style>
  <w:style w:type="paragraph" w:customStyle="1" w:styleId="CalloutText">
    <w:name w:val="CalloutText"/>
    <w:pPr>
      <w:spacing w:before="40" w:after="40"/>
      <w:ind w:left="144" w:right="144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复杂排版转换器测试文档</dc:title>
  <dc:subject>DOC/DOCX/RTF conversion fixture</dc:subject>
  <dc:creator>OpenAI ChatGPT</dc:creator>
  <cp:keywords>markdown, txt, docx, conversion, fixture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