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color w:val="1F497D"/>
          <w:sz w:val="32"/>
        </w:rPr>
        <w:t>Early Warning System for Market Crises</w:t>
      </w:r>
    </w:p>
    <w:p>
      <w:pPr>
        <w:spacing w:after="240"/>
        <w:jc w:val="center"/>
      </w:pPr>
      <w:r>
        <w:rPr>
          <w:b w:val="0"/>
          <w:i/>
          <w:color w:val="595959"/>
          <w:sz w:val="19"/>
        </w:rPr>
        <w:t>ML for Fintech — Assignment 4  |  Politecnico di Milano  |  Group 14</w:t>
      </w:r>
    </w:p>
    <w:p>
      <w:pPr>
        <w:spacing w:before="240" w:after="80"/>
        <w:pBdr>
          <w:bottom w:val="single" w:sz="4" w:space="1" w:color="1F497D"/>
        </w:pBdr>
      </w:pPr>
      <w:r>
        <w:rPr>
          <w:b/>
          <w:i w:val="0"/>
          <w:color w:val="1F497D"/>
          <w:sz w:val="24"/>
        </w:rPr>
        <w:t>1. OBJECTIVE</w:t>
      </w:r>
    </w:p>
    <w:p>
      <w:pPr>
        <w:spacing w:after="80" w:before="0"/>
      </w:pPr>
      <w:r>
        <w:rPr>
          <w:b w:val="0"/>
          <w:i w:val="0"/>
          <w:sz w:val="19"/>
        </w:rPr>
        <w:t>The project builds a pipeline that anticipates equity market crises before the damage is done. The question is reframed from 'is this week anomalous?' to 'will there be a crisis in the next four weeks?' — shifting from reactive detection to predictive warning. All models are evaluated in strict walk-forward (no look-ahead), and every operational threshold is computed on an expanding causal basis.</w:t>
      </w:r>
    </w:p>
    <w:p>
      <w:pPr>
        <w:spacing w:before="240" w:after="80"/>
        <w:pBdr>
          <w:bottom w:val="single" w:sz="4" w:space="1" w:color="1F497D"/>
        </w:pBdr>
      </w:pPr>
      <w:r>
        <w:rPr>
          <w:b/>
          <w:i w:val="0"/>
          <w:color w:val="1F497D"/>
          <w:sz w:val="24"/>
        </w:rPr>
        <w:t>2. FIVE-SECTION PIPELINE</w:t>
      </w:r>
    </w:p>
    <w:p>
      <w:pPr>
        <w:spacing w:before="160" w:after="40"/>
      </w:pPr>
      <w:r>
        <w:rPr>
          <w:b/>
          <w:i w:val="0"/>
          <w:color w:val="1F497D"/>
          <w:sz w:val="20"/>
        </w:rPr>
        <w:t>Part 1 — Features &amp; Target</w:t>
      </w:r>
    </w:p>
    <w:p>
      <w:pPr>
        <w:spacing w:after="80" w:before="0"/>
      </w:pPr>
      <w:r>
        <w:rPr>
          <w:b w:val="0"/>
          <w:i w:val="0"/>
          <w:sz w:val="19"/>
        </w:rPr>
        <w:t>Nine causal precursors are built from the Bloomberg weekly dataset: volatility acceleration, cross-market correlation, credit tension, VIX level and momentum, yield-curve slope (10y−3m), drawdown velocity, Baltic Dry momentum, and economic surprise. Two additional features from the academic literature are computed (absorption ratio, credit spread) and ranked by mutual information. The predict-ahead label y_ahead flags any anomaly in the next H=4 weeks.</w:t>
      </w:r>
    </w:p>
    <w:p>
      <w:pPr>
        <w:spacing w:before="160" w:after="40"/>
      </w:pPr>
      <w:r>
        <w:rPr>
          <w:b/>
          <w:i w:val="0"/>
          <w:color w:val="1F497D"/>
          <w:sz w:val="20"/>
        </w:rPr>
        <w:t>Part 2 — Supervised Models</w:t>
      </w:r>
    </w:p>
    <w:p>
      <w:pPr>
        <w:spacing w:after="80" w:before="0"/>
      </w:pPr>
      <w:r>
        <w:rPr>
          <w:b w:val="0"/>
          <w:i w:val="0"/>
          <w:sz w:val="19"/>
        </w:rPr>
        <w:t>A shared walk-forward engine (no look-ahead) evaluates nine models: Logistic Regression (L2 and ElasticNet), Random Forest, HistGradientBoosting, LightGBM, XGBoost. Tuning runs on the first 60% of data via RandomizedSearchCV on TimeSeriesSplit. All models receive uniform Platt-scaling calibration. The Logistic Regression (L2) achieves the best Brier score and comparable PR-AUC (0.602), making it the preferred operational choice.</w:t>
      </w:r>
    </w:p>
    <w:p>
      <w:pPr>
        <w:spacing w:before="160" w:after="40"/>
      </w:pPr>
      <w:r>
        <w:rPr>
          <w:b/>
          <w:i w:val="0"/>
          <w:color w:val="1F497D"/>
          <w:sz w:val="20"/>
        </w:rPr>
        <w:t>Part 3 — Unsupervised, Temporal &amp; Regime Models</w:t>
      </w:r>
    </w:p>
    <w:p>
      <w:pPr>
        <w:spacing w:after="80" w:before="0"/>
      </w:pPr>
      <w:r>
        <w:rPr>
          <w:b w:val="0"/>
          <w:i w:val="0"/>
          <w:sz w:val="19"/>
        </w:rPr>
        <w:t>Six additional detectors complete the candidate pool: Isolation Forest, GMM, COPOD (pyod), LOF, One-Class SVM, and a Regime-GMM detector (HMM fallback, validated 2 vs. 3 states). A CUSUM change-point detector is applied to the composite signal. An LSTM Autoencoder processes rolling 8-week sequences; after correcting a look-ahead normalisation bug its PR-AUC dropped from an artefactual 0.608 to an honest 0.351.</w:t>
      </w:r>
    </w:p>
    <w:p>
      <w:pPr>
        <w:spacing w:before="160" w:after="40"/>
      </w:pPr>
      <w:r>
        <w:rPr>
          <w:b/>
          <w:i w:val="0"/>
          <w:color w:val="1F497D"/>
          <w:sz w:val="20"/>
        </w:rPr>
        <w:t>Part 4 — Model Selection</w:t>
      </w:r>
    </w:p>
    <w:p>
      <w:pPr>
        <w:spacing w:after="80" w:before="0"/>
      </w:pPr>
      <w:r>
        <w:rPr>
          <w:b w:val="0"/>
          <w:i w:val="0"/>
          <w:sz w:val="19"/>
        </w:rPr>
        <w:t>Candidates compete on three independent tests: (1) predictivity — PR-AUC and ROC-AUC; (2) timeliness — lead time before crisis troughs; (3) reliability — precision at recall &gt;= 0.5 and strategy Sharpe/MaxDD. A bootstrap 95% CI (500 resamples) on the winner's PR-AUC shows [0.54, 0.66], confirming that Logistic, ElasticNet and the corrected LSTM-AE are statistically indistinguishable. The Logistic Regression is selected as the operational model.</w:t>
      </w:r>
    </w:p>
    <w:p>
      <w:pPr>
        <w:spacing w:before="160" w:after="40"/>
      </w:pPr>
      <w:r>
        <w:rPr>
          <w:b/>
          <w:i w:val="0"/>
          <w:color w:val="1F497D"/>
          <w:sz w:val="20"/>
        </w:rPr>
        <w:t>Part 5 — Explainability, Stress Test &amp; Business Case</w:t>
      </w:r>
    </w:p>
    <w:p>
      <w:pPr>
        <w:spacing w:after="80" w:before="0"/>
      </w:pPr>
      <w:r>
        <w:rPr>
          <w:b w:val="0"/>
          <w:i w:val="0"/>
          <w:sz w:val="19"/>
        </w:rPr>
        <w:t>KMeans (k=3) clusters anomaly weeks into three sequential crisis archetypes: Wear-out (diffuse stress, n=128), Acute Panic (n=24, Lehman and COVID bottoms), and Recovery (n=81, post-shock rebounds). The two dominant drivers of the alarm are livello_vix and correlazione_media — VIX up and cross-asset correlation up. Historical replay confirms the system on 2008 and 2020; 2011 is an honestly declared partial false alarm.</w:t>
      </w:r>
    </w:p>
    <w:p>
      <w:pPr>
        <w:spacing w:before="240" w:after="80"/>
        <w:pBdr>
          <w:bottom w:val="single" w:sz="4" w:space="1" w:color="1F497D"/>
        </w:pBdr>
      </w:pPr>
      <w:r>
        <w:rPr>
          <w:b/>
          <w:i w:val="0"/>
          <w:color w:val="1F497D"/>
          <w:sz w:val="24"/>
        </w:rPr>
        <w:t>3. RECOVERY DETECTOR — DOUBLE CONFIRMATION A+B</w:t>
      </w:r>
    </w:p>
    <w:p>
      <w:pPr>
        <w:spacing w:after="80" w:before="0"/>
      </w:pPr>
      <w:r>
        <w:rPr>
          <w:b w:val="0"/>
          <w:i w:val="0"/>
          <w:sz w:val="19"/>
        </w:rPr>
        <w:t>The key methodological contribution is a two-model rule that separates exit from re-entry. Model A (the winning Logistic Regression) scores the probability of a crisis within four weeks. Model B (a sibling Logistic Regression trained on the 9 precursors plus 6 recovery-specific features) scores the probability of a sustained rebound within six weeks.</w:t>
      </w:r>
    </w:p>
    <w:p>
      <w:pPr>
        <w:pStyle w:val="ListBullet"/>
        <w:spacing w:after="40" w:before="0"/>
        <w:ind w:left="454"/>
      </w:pPr>
      <w:r>
        <w:rPr>
          <w:b/>
          <w:i w:val="0"/>
          <w:sz w:val="19"/>
        </w:rPr>
        <w:t>Rule 1.</w:t>
      </w:r>
      <w:r>
        <w:rPr>
          <w:b w:val="0"/>
          <w:i w:val="0"/>
          <w:sz w:val="19"/>
        </w:rPr>
        <w:t xml:space="preserve"> Exit equity: score_A &gt; q70  AND  score_B &lt; q40  (flight confirmed).</w:t>
      </w:r>
    </w:p>
    <w:p>
      <w:pPr>
        <w:pStyle w:val="ListBullet"/>
        <w:spacing w:after="40" w:before="0"/>
        <w:ind w:left="454"/>
      </w:pPr>
      <w:r>
        <w:rPr>
          <w:b/>
          <w:i w:val="0"/>
          <w:sz w:val="19"/>
        </w:rPr>
        <w:t>Rule 2.</w:t>
      </w:r>
      <w:r>
        <w:rPr>
          <w:b w:val="0"/>
          <w:i w:val="0"/>
          <w:sz w:val="19"/>
        </w:rPr>
        <w:t xml:space="preserve"> Re-enter equity: score_B &gt; q60  AND  score_A &lt; q60  (return confirmed).</w:t>
      </w:r>
    </w:p>
    <w:p>
      <w:pPr>
        <w:pStyle w:val="ListBullet"/>
        <w:spacing w:after="40" w:before="0"/>
        <w:ind w:left="454"/>
      </w:pPr>
      <w:r>
        <w:rPr>
          <w:b/>
          <w:i w:val="0"/>
          <w:sz w:val="19"/>
        </w:rPr>
        <w:t>Rule 3.</w:t>
      </w:r>
      <w:r>
        <w:rPr>
          <w:b w:val="0"/>
          <w:i w:val="0"/>
          <w:sz w:val="19"/>
        </w:rPr>
        <w:t xml:space="preserve"> Under ambiguity (both high or both low): do not act.</w:t>
      </w:r>
    </w:p>
    <w:p>
      <w:pPr>
        <w:spacing w:after="80" w:before="0"/>
      </w:pPr>
      <w:r>
        <w:rPr>
          <w:b w:val="0"/>
          <w:i w:val="0"/>
          <w:sz w:val="19"/>
        </w:rPr>
        <w:t>All thresholds are expanding-causal: for each week t the quantile is computed only on scores observed up to t-1. The result is deployment-ready with zero look-ahead.</w:t>
      </w:r>
    </w:p>
    <w:p>
      <w:pPr>
        <w:spacing w:before="240" w:after="80"/>
        <w:pBdr>
          <w:bottom w:val="single" w:sz="4" w:space="1" w:color="1F497D"/>
        </w:pBdr>
      </w:pPr>
      <w:r>
        <w:rPr>
          <w:b/>
          <w:i w:val="0"/>
          <w:color w:val="1F497D"/>
          <w:sz w:val="24"/>
        </w:rPr>
        <w:t>4. BUSINESS CASE  (EUR 100,000  |  17.1 YEARS OOS  |  TC 10 BP/SWITCH)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tcW w:w="2800" w:type="dxa"/>
            <w:shd w:val="clear" w:color="auto" w:fill="D9E2F3"/>
          </w:tcPr>
          <w:p>
            <w:pPr>
              <w:spacing w:after="40" w:before="40"/>
            </w:pPr>
            <w:r>
              <w:rPr>
                <w:b/>
                <w:i w:val="0"/>
                <w:color w:val="1F497D"/>
                <w:sz w:val="18"/>
              </w:rPr>
              <w:t>Strategy</w:t>
            </w:r>
          </w:p>
        </w:tc>
        <w:tc>
          <w:tcPr>
            <w:tcW w:type="dxa" w:w="1881"/>
            <w:tcW w:w="2000" w:type="dxa"/>
            <w:shd w:val="clear" w:color="auto" w:fill="D9E2F3"/>
          </w:tcPr>
          <w:p>
            <w:pPr>
              <w:spacing w:after="40" w:before="40"/>
            </w:pPr>
            <w:r>
              <w:rPr>
                <w:b/>
                <w:i w:val="0"/>
                <w:color w:val="1F497D"/>
                <w:sz w:val="18"/>
              </w:rPr>
              <w:t>Final Capital</w:t>
            </w:r>
          </w:p>
        </w:tc>
        <w:tc>
          <w:tcPr>
            <w:tcW w:type="dxa" w:w="1881"/>
            <w:tcW w:w="1600" w:type="dxa"/>
            <w:shd w:val="clear" w:color="auto" w:fill="D9E2F3"/>
          </w:tcPr>
          <w:p>
            <w:pPr>
              <w:spacing w:after="40" w:before="40"/>
            </w:pPr>
            <w:r>
              <w:rPr>
                <w:b/>
                <w:i w:val="0"/>
                <w:color w:val="1F497D"/>
                <w:sz w:val="18"/>
              </w:rPr>
              <w:t>CAGR</w:t>
            </w:r>
          </w:p>
        </w:tc>
        <w:tc>
          <w:tcPr>
            <w:tcW w:type="dxa" w:w="1881"/>
            <w:tcW w:w="2000" w:type="dxa"/>
            <w:shd w:val="clear" w:color="auto" w:fill="D9E2F3"/>
          </w:tcPr>
          <w:p>
            <w:pPr>
              <w:spacing w:after="40" w:before="40"/>
            </w:pPr>
            <w:r>
              <w:rPr>
                <w:b/>
                <w:i w:val="0"/>
                <w:color w:val="1F497D"/>
                <w:sz w:val="18"/>
              </w:rPr>
              <w:t>Max DD</w:t>
            </w:r>
          </w:p>
        </w:tc>
        <w:tc>
          <w:tcPr>
            <w:tcW w:type="dxa" w:w="1881"/>
            <w:tcW w:w="1600" w:type="dxa"/>
            <w:shd w:val="clear" w:color="auto" w:fill="D9E2F3"/>
          </w:tcPr>
          <w:p>
            <w:pPr>
              <w:spacing w:after="40" w:before="40"/>
            </w:pPr>
            <w:r>
              <w:rPr>
                <w:b/>
                <w:i w:val="0"/>
                <w:color w:val="1F497D"/>
                <w:sz w:val="18"/>
              </w:rPr>
              <w:t>Calmar</w:t>
            </w:r>
          </w:p>
        </w:tc>
      </w:tr>
      <w:tr>
        <w:tc>
          <w:tcPr>
            <w:tcW w:type="dxa" w:w="1881"/>
            <w:tcW w:w="2800" w:type="dxa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Buy &amp; Hold</w:t>
            </w:r>
          </w:p>
        </w:tc>
        <w:tc>
          <w:tcPr>
            <w:tcW w:type="dxa" w:w="1881"/>
            <w:tcW w:w="2000" w:type="dxa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EUR 353,409</w:t>
            </w:r>
          </w:p>
        </w:tc>
        <w:tc>
          <w:tcPr>
            <w:tcW w:type="dxa" w:w="1881"/>
            <w:tcW w:w="1600" w:type="dxa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7.66%</w:t>
            </w:r>
          </w:p>
        </w:tc>
        <w:tc>
          <w:tcPr>
            <w:tcW w:type="dxa" w:w="1881"/>
            <w:tcW w:w="2000" w:type="dxa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-55.2%</w:t>
            </w:r>
          </w:p>
        </w:tc>
        <w:tc>
          <w:tcPr>
            <w:tcW w:type="dxa" w:w="1881"/>
            <w:tcW w:w="1600" w:type="dxa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0.138</w:t>
            </w:r>
          </w:p>
        </w:tc>
      </w:tr>
      <w:tr>
        <w:tc>
          <w:tcPr>
            <w:tcW w:type="dxa" w:w="1881"/>
            <w:tcW w:w="2800" w:type="dxa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q90 Fixed (+TC)</w:t>
            </w:r>
          </w:p>
        </w:tc>
        <w:tc>
          <w:tcPr>
            <w:tcW w:type="dxa" w:w="1881"/>
            <w:tcW w:w="2000" w:type="dxa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EUR 292,359</w:t>
            </w:r>
          </w:p>
        </w:tc>
        <w:tc>
          <w:tcPr>
            <w:tcW w:type="dxa" w:w="1881"/>
            <w:tcW w:w="1600" w:type="dxa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6.48%</w:t>
            </w:r>
          </w:p>
        </w:tc>
        <w:tc>
          <w:tcPr>
            <w:tcW w:type="dxa" w:w="1881"/>
            <w:tcW w:w="2000" w:type="dxa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-31.6%</w:t>
            </w:r>
          </w:p>
        </w:tc>
        <w:tc>
          <w:tcPr>
            <w:tcW w:type="dxa" w:w="1881"/>
            <w:tcW w:w="1600" w:type="dxa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0.205</w:t>
            </w:r>
          </w:p>
        </w:tc>
      </w:tr>
      <w:tr>
        <w:tc>
          <w:tcPr>
            <w:tcW w:type="dxa" w:w="1881"/>
            <w:tcW w:w="2800" w:type="dxa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Recovery Detector A+B (+TC)</w:t>
            </w:r>
          </w:p>
        </w:tc>
        <w:tc>
          <w:tcPr>
            <w:tcW w:type="dxa" w:w="1881"/>
            <w:tcW w:w="2000" w:type="dxa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EUR 484,488</w:t>
            </w:r>
          </w:p>
        </w:tc>
        <w:tc>
          <w:tcPr>
            <w:tcW w:type="dxa" w:w="1881"/>
            <w:tcW w:w="1600" w:type="dxa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9.67%</w:t>
            </w:r>
          </w:p>
        </w:tc>
        <w:tc>
          <w:tcPr>
            <w:tcW w:type="dxa" w:w="1881"/>
            <w:tcW w:w="2000" w:type="dxa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-27.7%</w:t>
            </w:r>
          </w:p>
        </w:tc>
        <w:tc>
          <w:tcPr>
            <w:tcW w:type="dxa" w:w="1881"/>
            <w:tcW w:w="1600" w:type="dxa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0.351</w:t>
            </w:r>
          </w:p>
        </w:tc>
      </w:tr>
    </w:tbl>
    <w:p/>
    <w:p>
      <w:pPr>
        <w:spacing w:after="80" w:before="0"/>
      </w:pPr>
      <w:r>
        <w:rPr>
          <w:b w:val="0"/>
          <w:i w:val="0"/>
          <w:sz w:val="19"/>
        </w:rPr>
        <w:t>The Recovery Detector adds EUR 131,079 over Buy &amp; Hold (+37% more profit) while halving the maximum drawdown. With only ~16 switches in 17 years, transaction costs are negligible (~EUR 160 on EUR 484k). Calmar ratio is 2.5x the passive benchmark.</w:t>
      </w:r>
    </w:p>
    <w:p>
      <w:pPr>
        <w:spacing w:before="160" w:after="40"/>
      </w:pPr>
      <w:r>
        <w:rPr>
          <w:b/>
          <w:i w:val="0"/>
          <w:color w:val="1F497D"/>
          <w:sz w:val="20"/>
        </w:rPr>
        <w:t>Crisis-by-crisis breakdown</w:t>
      </w:r>
    </w:p>
    <w:p>
      <w:pPr>
        <w:pStyle w:val="ListBullet"/>
        <w:spacing w:after="40" w:before="0"/>
        <w:ind w:left="454"/>
      </w:pPr>
      <w:r>
        <w:rPr>
          <w:b w:val="0"/>
          <w:i w:val="0"/>
          <w:sz w:val="19"/>
        </w:rPr>
        <w:t>2008 (financial crisis): cash 89%, return -10% vs B&amp;H -39%. MaxDD -14% vs -55%. Clear win.</w:t>
      </w:r>
    </w:p>
    <w:p>
      <w:pPr>
        <w:pStyle w:val="ListBullet"/>
        <w:spacing w:after="40" w:before="0"/>
        <w:ind w:left="454"/>
      </w:pPr>
      <w:r>
        <w:rPr>
          <w:b w:val="0"/>
          <w:i w:val="0"/>
          <w:sz w:val="19"/>
        </w:rPr>
        <w:t>2011 (euro debt): cash 37%, return +5% vs B&amp;H +13%. Partial false alarm — honestly declared.</w:t>
      </w:r>
    </w:p>
    <w:p>
      <w:pPr>
        <w:pStyle w:val="ListBullet"/>
        <w:spacing w:after="40" w:before="0"/>
        <w:ind w:left="454"/>
      </w:pPr>
      <w:r>
        <w:rPr>
          <w:b w:val="0"/>
          <w:i w:val="0"/>
          <w:sz w:val="19"/>
        </w:rPr>
        <w:t>2020 (COVID): cash 0%, return +7.7% identical to B&amp;H. Model B recognises the rebound pattern and stays invested — the methodological signature of the double-confirmation rule.</w:t>
      </w:r>
    </w:p>
    <w:p>
      <w:pPr>
        <w:spacing w:before="240" w:after="80"/>
        <w:pBdr>
          <w:bottom w:val="single" w:sz="4" w:space="1" w:color="1F497D"/>
        </w:pBdr>
      </w:pPr>
      <w:r>
        <w:rPr>
          <w:b/>
          <w:i w:val="0"/>
          <w:color w:val="1F497D"/>
          <w:sz w:val="24"/>
        </w:rPr>
        <w:t>5. ROBUSTNESS &amp; HONEST CAVEATS</w:t>
      </w:r>
    </w:p>
    <w:p>
      <w:pPr>
        <w:spacing w:before="160" w:after="40"/>
      </w:pPr>
      <w:r>
        <w:rPr>
          <w:b/>
          <w:i w:val="0"/>
          <w:color w:val="1F497D"/>
          <w:sz w:val="20"/>
        </w:rPr>
        <w:t>Synthetic stress test (t-Student copula + k-NN)</w:t>
      </w:r>
    </w:p>
    <w:p>
      <w:pPr>
        <w:spacing w:after="80" w:before="0"/>
      </w:pPr>
      <w:r>
        <w:rPr>
          <w:b w:val="0"/>
          <w:i w:val="0"/>
          <w:sz w:val="19"/>
        </w:rPr>
        <w:t>1,000 synthetic weeks generated from a t-Student copula (df=4) preserve the historical dependence structure. The model flags ~30% of synthetic scenarios — matching its historical q70 selectivity. Recall on the 10 farthest out-of-distribution scenarios is 80-90%. Documented blind spot: decoupled credit-only crises (e.g. LTCM 1998) where VIX and cross-asset correlation do not synchronise.</w:t>
      </w:r>
    </w:p>
    <w:p>
      <w:pPr>
        <w:spacing w:before="160" w:after="40"/>
      </w:pPr>
      <w:r>
        <w:rPr>
          <w:b/>
          <w:i w:val="0"/>
          <w:color w:val="1F497D"/>
          <w:sz w:val="20"/>
        </w:rPr>
        <w:t>Honestly declared limits</w:t>
      </w:r>
    </w:p>
    <w:p>
      <w:pPr>
        <w:pStyle w:val="ListBullet"/>
        <w:spacing w:after="40" w:before="0"/>
        <w:ind w:left="454"/>
      </w:pPr>
      <w:r>
        <w:rPr>
          <w:b w:val="0"/>
          <w:i w:val="0"/>
          <w:sz w:val="19"/>
        </w:rPr>
        <w:t>Regime detector is a GMM fallback (hmmlearn unavailable on Python 3.14+).</w:t>
      </w:r>
    </w:p>
    <w:p>
      <w:pPr>
        <w:pStyle w:val="ListBullet"/>
        <w:spacing w:after="40" w:before="0"/>
        <w:ind w:left="454"/>
      </w:pPr>
      <w:r>
        <w:rPr>
          <w:b w:val="0"/>
          <w:i w:val="0"/>
          <w:sz w:val="19"/>
        </w:rPr>
        <w:t>2011 is a partial false alarm: the system partially exits and misses the 2012 rebound.</w:t>
      </w:r>
    </w:p>
    <w:p>
      <w:pPr>
        <w:pStyle w:val="ListBullet"/>
        <w:spacing w:after="40" w:before="0"/>
        <w:ind w:left="454"/>
      </w:pPr>
      <w:r>
        <w:rPr>
          <w:b w:val="0"/>
          <w:i w:val="0"/>
          <w:sz w:val="19"/>
        </w:rPr>
        <w:t>Model B PR-AUC ~0.33 alone; value comes from the A+B double-confirmation combination.</w:t>
      </w:r>
    </w:p>
    <w:p>
      <w:pPr>
        <w:pStyle w:val="ListBullet"/>
        <w:spacing w:after="40" w:before="0"/>
        <w:ind w:left="454"/>
      </w:pPr>
      <w:r>
        <w:rPr>
          <w:b w:val="0"/>
          <w:i w:val="0"/>
          <w:sz w:val="19"/>
        </w:rPr>
        <w:t>t-Copula stress test is partially circular by construction; informative only on OOD scenarios.</w:t>
      </w:r>
    </w:p>
    <w:p>
      <w:pPr>
        <w:spacing w:before="240" w:after="80"/>
        <w:pBdr>
          <w:bottom w:val="single" w:sz="4" w:space="1" w:color="1F497D"/>
        </w:pBdr>
      </w:pPr>
      <w:r>
        <w:rPr>
          <w:b/>
          <w:i w:val="0"/>
          <w:color w:val="1F497D"/>
          <w:sz w:val="24"/>
        </w:rPr>
        <w:t>6. KEY TAKEAWAYS</w:t>
      </w:r>
    </w:p>
    <w:p>
      <w:pPr>
        <w:pStyle w:val="ListBullet"/>
        <w:spacing w:after="40" w:before="0"/>
        <w:ind w:left="454"/>
      </w:pPr>
      <w:r>
        <w:rPr>
          <w:b/>
          <w:i w:val="0"/>
          <w:sz w:val="19"/>
        </w:rPr>
        <w:t>Technical:</w:t>
      </w:r>
      <w:r>
        <w:rPr>
          <w:b w:val="0"/>
          <w:i w:val="0"/>
          <w:sz w:val="19"/>
        </w:rPr>
        <w:t>Model choice matters less than expected. Logistic Regression with nine well-crafted precursors beats XGBoost, LSTM-AE and Random Forest. Complexity was noise.</w:t>
      </w:r>
    </w:p>
    <w:p>
      <w:pPr>
        <w:pStyle w:val="ListBullet"/>
        <w:spacing w:after="40" w:before="0"/>
        <w:ind w:left="454"/>
      </w:pPr>
      <w:r>
        <w:rPr>
          <w:b/>
          <w:i w:val="0"/>
          <w:sz w:val="19"/>
        </w:rPr>
        <w:t>Methodological:</w:t>
      </w:r>
      <w:r>
        <w:rPr>
          <w:b w:val="0"/>
          <w:i w:val="0"/>
          <w:sz w:val="19"/>
        </w:rPr>
        <w:t>Strict causality and target engineering (y_ahead) drove more performance than any hyperparameter search.</w:t>
      </w:r>
    </w:p>
    <w:p>
      <w:pPr>
        <w:pStyle w:val="ListBullet"/>
        <w:spacing w:after="40" w:before="0"/>
        <w:ind w:left="454"/>
      </w:pPr>
      <w:r>
        <w:rPr>
          <w:b/>
          <w:i w:val="0"/>
          <w:sz w:val="19"/>
        </w:rPr>
        <w:t>Narrative:</w:t>
      </w:r>
      <w:r>
        <w:rPr>
          <w:b w:val="0"/>
          <w:i w:val="0"/>
          <w:sz w:val="19"/>
        </w:rPr>
        <w:t>The system does not just reduce risk — it distinguishes crisis types. A 2008 (systemic) must be treated opposite to a 2020 (exogenous with V-shape rebound). That distinction is the true dawn to recognise.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