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52"/>
          <w:szCs w:val="52"/>
        </w:rPr>
        <w:t xml:space="preserve">Sentinel-1 SAR Feature Documentation</w:t>
      </w:r>
    </w:p>
    <w:p>
      <w:pPr>
        <w:spacing w:after="480"/>
        <w:jc w:val="center"/>
      </w:pPr>
      <w:r>
        <w:rPr>
          <w:rFonts w:ascii="Arial" w:cs="Arial" w:eastAsia="Arial" w:hAnsi="Arial"/>
          <w:color w:val="2E75B6"/>
          <w:sz w:val="24"/>
          <w:szCs w:val="24"/>
        </w:rPr>
        <w:t xml:space="preserve">Urban Heat Island — Rome | Feature Engineering Reference</w:t>
      </w:r>
    </w:p>
    <w:p>
      <w:pPr>
        <w:pStyle w:val="Heading1"/>
      </w:pPr>
      <w:r>
        <w:rPr>
          <w:rFonts w:ascii="Arial" w:cs="Arial" w:eastAsia="Arial" w:hAnsi="Arial"/>
        </w:rPr>
        <w:t xml:space="preserve">Overview</w:t>
      </w:r>
    </w:p>
    <w:p>
      <w:pPr>
        <w:spacing w:after="120"/>
      </w:pPr>
      <w:r>
        <w:rPr>
          <w:rFonts w:ascii="Arial" w:cs="Arial" w:eastAsia="Arial" w:hAnsi="Arial"/>
          <w:sz w:val="22"/>
          <w:szCs w:val="22"/>
        </w:rPr>
        <w:t xml:space="preserve">This document describes the nine Sentinel-1 SAR features derived for the Rome Urban Heat Island (UHI) project. All features are computed at 30 m resolution over the summer 2025 window (June–September) to match the Landsat LST target grid. Three features also use a full-year 2025 collection to capture temporal dynamics.</w:t>
      </w:r>
    </w:p>
    <w:p>
      <w:pPr>
        <w:spacing w:after="120"/>
      </w:pPr>
      <w:r>
        <w:rPr>
          <w:rFonts w:ascii="Arial" w:cs="Arial" w:eastAsia="Arial" w:hAnsi="Arial"/>
          <w:sz w:val="22"/>
          <w:szCs w:val="22"/>
        </w:rPr>
        <w:t xml:space="preserve">The core hypothesis is that SAR backscatter encodes surface roughness, vegetation volume, and urban fabric complexity that optical sensors cannot observe — and that these signals explain LST variance beyond what NDVI, albedo, and building height alone provide.</w:t>
      </w:r>
    </w:p>
    <w:p>
      <w:pPr>
        <w:spacing w:after="80"/>
      </w:pPr>
      <w:r>
        <w:t xml:space="preserve"/>
      </w:r>
    </w:p>
    <w:p>
      <w:pPr>
        <w:pStyle w:val="Heading1"/>
      </w:pPr>
      <w:r>
        <w:rPr>
          <w:rFonts w:ascii="Arial" w:cs="Arial" w:eastAsia="Arial" w:hAnsi="Arial"/>
        </w:rPr>
        <w:t xml:space="preserve">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5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r>
      <w:tr>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VV</w:t>
            </w:r>
          </w:p>
        </w:tc>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Courier New" w:cs="Courier New" w:eastAsia="Courier New" w:hAnsi="Courier New"/>
                <w:sz w:val="18"/>
                <w:szCs w:val="18"/>
              </w:rPr>
              <w:t xml:space="preserve">median(VV_dB)</w:t>
            </w:r>
          </w:p>
        </w:tc>
        <w:tc>
          <w:tcPr>
            <w:tcW w:type="dxa" w:w="5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Surface roughness / urban double-bounce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median(VH_dB)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volume / canopy moisture</w:t>
            </w:r>
          </w:p>
        </w:tc>
      </w:tr>
      <w:tr>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VV_VH_diff</w:t>
            </w:r>
          </w:p>
        </w:tc>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Courier New" w:cs="Courier New" w:eastAsia="Courier New" w:hAnsi="Courier New"/>
                <w:sz w:val="18"/>
                <w:szCs w:val="18"/>
              </w:rPr>
              <w:t xml:space="preserve">VV_dB - VH_dB</w:t>
            </w:r>
          </w:p>
        </w:tc>
        <w:tc>
          <w:tcPr>
            <w:tcW w:type="dxa" w:w="5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Urban vs vegetation discriminator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VH_VV_ratio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10^(VH/10) / 10^(VV/10)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Cross-pol fraction — canopy depth</w:t>
            </w:r>
          </w:p>
        </w:tc>
      </w:tr>
      <w:tr>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RFDI</w:t>
            </w:r>
          </w:p>
        </w:tc>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Courier New" w:cs="Courier New" w:eastAsia="Courier New" w:hAnsi="Courier New"/>
                <w:sz w:val="18"/>
                <w:szCs w:val="18"/>
              </w:rPr>
              <w:t xml:space="preserve">(VV_lin - VH_lin) / (VV_lin + VH_lin)</w:t>
            </w:r>
          </w:p>
        </w:tc>
        <w:tc>
          <w:tcPr>
            <w:tcW w:type="dxa" w:w="5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Radar Forest Degradation Index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SAR_urban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10*log10(VV_lin^2 / VH_lin)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Urban fabric intensity index</w:t>
            </w:r>
          </w:p>
        </w:tc>
      </w:tr>
      <w:tr>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VV_std</w:t>
            </w:r>
          </w:p>
        </w:tc>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Courier New" w:cs="Courier New" w:eastAsia="Courier New" w:hAnsi="Courier New"/>
                <w:sz w:val="18"/>
                <w:szCs w:val="18"/>
              </w:rPr>
              <w:t xml:space="preserve">std(VV_dB) over year</w:t>
            </w:r>
          </w:p>
        </w:tc>
        <w:tc>
          <w:tcPr>
            <w:tcW w:type="dxa" w:w="5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Temporal variability — construction / moisture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VH_std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std(VH_dB) over year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seasonality</w:t>
            </w:r>
          </w:p>
        </w:tc>
      </w:tr>
      <w:tr>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texture_contrast*</w:t>
            </w:r>
          </w:p>
        </w:tc>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Courier New" w:cs="Courier New" w:eastAsia="Courier New" w:hAnsi="Courier New"/>
                <w:sz w:val="18"/>
                <w:szCs w:val="18"/>
              </w:rPr>
              <w:t xml:space="preserve">log1p(GLCM contrast of VV)</w:t>
            </w:r>
          </w:p>
        </w:tc>
        <w:tc>
          <w:tcPr>
            <w:tcW w:type="dxa" w:w="5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Urban canyon spatial complexity</w:t>
            </w:r>
          </w:p>
        </w:tc>
      </w:tr>
    </w:tbl>
    <w:p>
      <w:pPr>
        <w:spacing w:after="400" w:before="80"/>
      </w:pPr>
      <w:r>
        <w:rPr>
          <w:rFonts w:ascii="Arial" w:cs="Arial" w:eastAsia="Arial" w:hAnsi="Arial"/>
          <w:i/>
          <w:iCs/>
          <w:color w:val="888888"/>
          <w:sz w:val="18"/>
          <w:szCs w:val="18"/>
        </w:rPr>
        <w:t xml:space="preserve">* log1p transform applied after export to compress right-skewed distribution.</w:t>
      </w:r>
    </w:p>
    <w:p>
      <w:pPr>
        <w:pStyle w:val="Heading1"/>
      </w:pPr>
      <w:r>
        <w:rPr>
          <w:rFonts w:ascii="Arial" w:cs="Arial" w:eastAsia="Arial" w:hAnsi="Arial"/>
        </w:rPr>
        <w:t xml:space="preserve">Feature Details</w:t>
      </w:r>
    </w:p>
    <w:p>
      <w:pPr>
        <w:pStyle w:val="Heading2"/>
      </w:pPr>
      <w:r>
        <w:rPr>
          <w:rFonts w:ascii="Arial" w:cs="Arial" w:eastAsia="Arial" w:hAnsi="Arial"/>
        </w:rPr>
        <w:t xml:space="preserve">1. VV — Co-polarised Backscatter</w:t>
      </w:r>
    </w:p>
    <w:p>
      <w:pPr>
        <w:spacing w:after="120"/>
      </w:pPr>
      <w:r>
        <w:rPr>
          <w:rFonts w:ascii="Arial" w:cs="Arial" w:eastAsia="Arial" w:hAnsi="Arial"/>
          <w:sz w:val="22"/>
          <w:szCs w:val="22"/>
        </w:rPr>
        <w:t xml:space="preserve">The satellite transmits a vertically polarised microwave pulse and records the return in the same vertical plane. The value is the median across all summer 2025 passes, expressed in decibels (dB).</w:t>
      </w:r>
    </w:p>
    <w:p>
      <w:pPr>
        <w:spacing w:after="80" w:before="80"/>
        <w:ind w:left="720"/>
      </w:pPr>
      <w:r>
        <w:rPr>
          <w:rFonts w:ascii="Courier New" w:cs="Courier New" w:eastAsia="Courier New" w:hAnsi="Courier New"/>
          <w:color w:val="1F3864"/>
          <w:sz w:val="20"/>
          <w:szCs w:val="20"/>
        </w:rPr>
        <w:t xml:space="preserve">VV_dB = 10 x log10(sigma_VV_linear)    Range: approx -22 dB (water) to 0 dB (dense urban)</w:t>
      </w:r>
    </w:p>
    <w:p>
      <w:pPr>
        <w:spacing w:after="120"/>
      </w:pPr>
      <w:r>
        <w:rPr>
          <w:rFonts w:ascii="Arial" w:cs="Arial" w:eastAsia="Arial" w:hAnsi="Arial"/>
          <w:sz w:val="22"/>
          <w:szCs w:val="22"/>
        </w:rPr>
        <w:t xml:space="preserve">Smooth surfaces such as calm water reflect the pulse away specularly — almost nothing returns to the sensor (very dark). Rough surfaces scatter energy in multiple directions. Dense urban fabric with walls perpendicular to the beam creates a corner reflector (ground + wall bounce) that sends the pulse straight back — very bright.</w:t>
      </w:r>
    </w:p>
    <w:p>
      <w:pPr>
        <w:pBdr>
          <w:left w:val="single" w:color="C00000" w:sz="6" w:space="8"/>
        </w:pBdr>
        <w:spacing w:after="200" w:before="80"/>
        <w:ind w:left="180"/>
      </w:pPr>
      <w:r>
        <w:rPr>
          <w:rFonts w:ascii="Arial" w:cs="Arial" w:eastAsia="Arial" w:hAnsi="Arial"/>
          <w:b/>
          <w:bCs/>
          <w:color w:val="C00000"/>
          <w:sz w:val="22"/>
          <w:szCs w:val="22"/>
        </w:rPr>
        <w:t xml:space="preserve">LST relationship: </w:t>
      </w:r>
      <w:r>
        <w:rPr>
          <w:rFonts w:ascii="Arial" w:cs="Arial" w:eastAsia="Arial" w:hAnsi="Arial"/>
          <w:color w:val="C00000"/>
          <w:sz w:val="22"/>
          <w:szCs w:val="22"/>
        </w:rPr>
        <w:t xml:space="preserve">High VV indicates dense impervious fabric with high thermal mass and low evapotranspiration. Urban areas with strong VV trap heat through the canyon effect and release it slowly at night → higher LST.</w:t>
      </w:r>
    </w:p>
    <w:p>
      <w:pPr>
        <w:pStyle w:val="Heading2"/>
      </w:pPr>
      <w:r>
        <w:rPr>
          <w:rFonts w:ascii="Arial" w:cs="Arial" w:eastAsia="Arial" w:hAnsi="Arial"/>
        </w:rPr>
        <w:t xml:space="preserve">2. VH — Cross-polarised Backscatter</w:t>
      </w:r>
    </w:p>
    <w:p>
      <w:pPr>
        <w:spacing w:after="120"/>
      </w:pPr>
      <w:r>
        <w:rPr>
          <w:rFonts w:ascii="Arial" w:cs="Arial" w:eastAsia="Arial" w:hAnsi="Arial"/>
          <w:sz w:val="22"/>
          <w:szCs w:val="22"/>
        </w:rPr>
        <w:t xml:space="preserve">The satellite transmits vertical but records the horizontally polarised return. This requires the medium to physically rotate the electric field orientation by 90°, which only multiple scattering events at different angles can produce — exactly what a vegetation canopy does.</w:t>
      </w:r>
    </w:p>
    <w:p>
      <w:pPr>
        <w:spacing w:after="80" w:before="80"/>
        <w:ind w:left="720"/>
      </w:pPr>
      <w:r>
        <w:rPr>
          <w:rFonts w:ascii="Courier New" w:cs="Courier New" w:eastAsia="Courier New" w:hAnsi="Courier New"/>
          <w:color w:val="1F3864"/>
          <w:sz w:val="20"/>
          <w:szCs w:val="20"/>
        </w:rPr>
        <w:t xml:space="preserve">VH_dB = 10 x log10(sigma_VH_linear)    Range: approx -30 dB to -8 dB (always dimmer than VV)</w:t>
      </w:r>
    </w:p>
    <w:p>
      <w:pPr>
        <w:spacing w:after="120"/>
      </w:pPr>
      <w:r>
        <w:rPr>
          <w:rFonts w:ascii="Arial" w:cs="Arial" w:eastAsia="Arial" w:hAnsi="Arial"/>
          <w:sz w:val="22"/>
          <w:szCs w:val="22"/>
        </w:rPr>
        <w:t xml:space="preserve">Dense tree canopies with randomly oriented branches and leaves strongly depolarise the signal. Smooth urban surfaces preserve polarisation and produce very little VH return. VH captures canopy depth and moisture content — information that NDVI does not fully encode.</w:t>
      </w:r>
    </w:p>
    <w:p>
      <w:pPr>
        <w:pBdr>
          <w:left w:val="single" w:color="C00000" w:sz="6" w:space="8"/>
        </w:pBdr>
        <w:spacing w:after="200" w:before="80"/>
        <w:ind w:left="180"/>
      </w:pPr>
      <w:r>
        <w:rPr>
          <w:rFonts w:ascii="Arial" w:cs="Arial" w:eastAsia="Arial" w:hAnsi="Arial"/>
          <w:b/>
          <w:bCs/>
          <w:color w:val="C00000"/>
          <w:sz w:val="22"/>
          <w:szCs w:val="22"/>
        </w:rPr>
        <w:t xml:space="preserve">LST relationship: </w:t>
      </w:r>
      <w:r>
        <w:rPr>
          <w:rFonts w:ascii="Arial" w:cs="Arial" w:eastAsia="Arial" w:hAnsi="Arial"/>
          <w:color w:val="C00000"/>
          <w:sz w:val="22"/>
          <w:szCs w:val="22"/>
        </w:rPr>
        <w:t xml:space="preserve">High VH indicates dense, moist vegetation canopy which drives latent heat flux (evapotranspiration). Areas with high VH remain cooler through evaporative cooling → lower LST. Adds information beyond NDVI, particularly distinguishing shallow grass from deep forest canopy.</w:t>
      </w:r>
    </w:p>
    <w:p>
      <w:pPr>
        <w:pStyle w:val="Heading2"/>
      </w:pPr>
      <w:r>
        <w:rPr>
          <w:rFonts w:ascii="Arial" w:cs="Arial" w:eastAsia="Arial" w:hAnsi="Arial"/>
        </w:rPr>
        <w:t xml:space="preserve">3. VV_VH_diff — Log Polarisation Ratio</w:t>
      </w:r>
    </w:p>
    <w:p>
      <w:pPr>
        <w:spacing w:after="120"/>
      </w:pPr>
      <w:r>
        <w:rPr>
          <w:rFonts w:ascii="Arial" w:cs="Arial" w:eastAsia="Arial" w:hAnsi="Arial"/>
          <w:sz w:val="22"/>
          <w:szCs w:val="22"/>
        </w:rPr>
        <w:t xml:space="preserve">The arithmetic difference of VV and VH in dB is mathematically equivalent to the logarithm of their linear ratio. Subtracting in log space divides in linear space, cancelling out common signal-level factors and isolating the polarisation behaviour of the surface.</w:t>
      </w:r>
    </w:p>
    <w:p>
      <w:pPr>
        <w:spacing w:after="80" w:before="80"/>
        <w:ind w:left="720"/>
      </w:pPr>
      <w:r>
        <w:rPr>
          <w:rFonts w:ascii="Courier New" w:cs="Courier New" w:eastAsia="Courier New" w:hAnsi="Courier New"/>
          <w:color w:val="1F3864"/>
          <w:sz w:val="20"/>
          <w:szCs w:val="20"/>
        </w:rPr>
        <w:t xml:space="preserve">VV_VH_diff = VV_dB - VH_dB = 10 x log10(sigma_VV / sigma_VH)</w:t>
      </w:r>
    </w:p>
    <w:p>
      <w:pPr>
        <w:spacing w:after="120"/>
      </w:pPr>
      <w:r>
        <w:rPr>
          <w:rFonts w:ascii="Arial" w:cs="Arial" w:eastAsia="Arial" w:hAnsi="Arial"/>
          <w:sz w:val="22"/>
          <w:szCs w:val="22"/>
        </w:rPr>
        <w:t xml:space="preserve">High values (above 10 dB) indicate the surface strongly preserves co-polarisation — impervious urban fabric. Low values (below 5 dB) indicate strong cross-polarisation — vegetation. The feature is more stable across the image than raw VV or VH because viewing geometry effects cancel in the ratio.</w:t>
      </w:r>
    </w:p>
    <w:p>
      <w:pPr>
        <w:pBdr>
          <w:left w:val="single" w:color="C00000" w:sz="6" w:space="8"/>
        </w:pBdr>
        <w:spacing w:after="200" w:before="80"/>
        <w:ind w:left="180"/>
      </w:pPr>
      <w:r>
        <w:rPr>
          <w:rFonts w:ascii="Arial" w:cs="Arial" w:eastAsia="Arial" w:hAnsi="Arial"/>
          <w:b/>
          <w:bCs/>
          <w:color w:val="C00000"/>
          <w:sz w:val="22"/>
          <w:szCs w:val="22"/>
        </w:rPr>
        <w:t xml:space="preserve">LST relationship: </w:t>
      </w:r>
      <w:r>
        <w:rPr>
          <w:rFonts w:ascii="Arial" w:cs="Arial" w:eastAsia="Arial" w:hAnsi="Arial"/>
          <w:color w:val="C00000"/>
          <w:sz w:val="22"/>
          <w:szCs w:val="22"/>
        </w:rPr>
        <w:t xml:space="preserve">Direct urban vs vegetation discriminator at pixel level. High values correspond to surfaces with low evapotranspiration, high heat absorption, and reduced convective cooling → higher LST.</w:t>
      </w:r>
    </w:p>
    <w:p>
      <w:pPr>
        <w:pStyle w:val="Heading2"/>
      </w:pPr>
      <w:r>
        <w:rPr>
          <w:rFonts w:ascii="Arial" w:cs="Arial" w:eastAsia="Arial" w:hAnsi="Arial"/>
        </w:rPr>
        <w:t xml:space="preserve">4. VH_VV_ratio — Linear Polarisation Fraction</w:t>
      </w:r>
    </w:p>
    <w:p>
      <w:pPr>
        <w:spacing w:after="120"/>
      </w:pPr>
      <w:r>
        <w:rPr>
          <w:rFonts w:ascii="Arial" w:cs="Arial" w:eastAsia="Arial" w:hAnsi="Arial"/>
          <w:sz w:val="22"/>
          <w:szCs w:val="22"/>
        </w:rPr>
        <w:t xml:space="preserve">Both bands are converted from dB to linear power before dividing. This gives the fraction of total backscatter that is in the cross-polarised channel — a direct measure of depolarisation efficiency.</w:t>
      </w:r>
    </w:p>
    <w:p>
      <w:pPr>
        <w:spacing w:after="80" w:before="80"/>
        <w:ind w:left="720"/>
      </w:pPr>
      <w:r>
        <w:rPr>
          <w:rFonts w:ascii="Courier New" w:cs="Courier New" w:eastAsia="Courier New" w:hAnsi="Courier New"/>
          <w:color w:val="1F3864"/>
          <w:sz w:val="20"/>
          <w:szCs w:val="20"/>
        </w:rPr>
        <w:t xml:space="preserve">VH_VV_ratio = 10^(VH_dB/10) / 10^(VV_dB/10)    Range: 0 (urban) to ~0.5 (dense canopy)</w:t>
      </w:r>
    </w:p>
    <w:p>
      <w:pPr>
        <w:spacing w:after="120"/>
      </w:pPr>
      <w:r>
        <w:rPr>
          <w:rFonts w:ascii="Arial" w:cs="Arial" w:eastAsia="Arial" w:hAnsi="Arial"/>
          <w:sz w:val="22"/>
          <w:szCs w:val="22"/>
        </w:rPr>
        <w:t xml:space="preserve">The linear ratio is more sensitive to small changes at low cross-pol levels, making it better at distinguishing bare soil from sparse grass — a range where VV_VH_diff (log scale) is relatively insensitive. Both features carry related but not identical information and are worth keeping as separate inputs to the model.</w:t>
      </w:r>
    </w:p>
    <w:p>
      <w:pPr>
        <w:pBdr>
          <w:left w:val="single" w:color="C00000" w:sz="6" w:space="8"/>
        </w:pBdr>
        <w:spacing w:after="200" w:before="80"/>
        <w:ind w:left="180"/>
      </w:pPr>
      <w:r>
        <w:rPr>
          <w:rFonts w:ascii="Arial" w:cs="Arial" w:eastAsia="Arial" w:hAnsi="Arial"/>
          <w:b/>
          <w:bCs/>
          <w:color w:val="C00000"/>
          <w:sz w:val="22"/>
          <w:szCs w:val="22"/>
        </w:rPr>
        <w:t xml:space="preserve">LST relationship: </w:t>
      </w:r>
      <w:r>
        <w:rPr>
          <w:rFonts w:ascii="Arial" w:cs="Arial" w:eastAsia="Arial" w:hAnsi="Arial"/>
          <w:color w:val="C00000"/>
          <w:sz w:val="22"/>
          <w:szCs w:val="22"/>
        </w:rPr>
        <w:t xml:space="preserve">Complements VV_VH_diff. Sensitive to transitions between sparse and moderate vegetation — precisely the range where small changes in canopy cover produce detectable LST differences through partial shading and evapotranspiration.</w:t>
      </w:r>
    </w:p>
    <w:p>
      <w:pPr>
        <w:pStyle w:val="Heading2"/>
      </w:pPr>
      <w:r>
        <w:rPr>
          <w:rFonts w:ascii="Arial" w:cs="Arial" w:eastAsia="Arial" w:hAnsi="Arial"/>
        </w:rPr>
        <w:t xml:space="preserve">5. RFDI — Radar Forest Degradation Index</w:t>
      </w:r>
    </w:p>
    <w:p>
      <w:pPr>
        <w:spacing w:after="120"/>
      </w:pPr>
      <w:r>
        <w:rPr>
          <w:rFonts w:ascii="Arial" w:cs="Arial" w:eastAsia="Arial" w:hAnsi="Arial"/>
          <w:sz w:val="22"/>
          <w:szCs w:val="22"/>
        </w:rPr>
        <w:t xml:space="preserve">A normalised index structured analogously to optical indices like NDVI. The normalisation by total linear backscatter makes it robust to absolute signal level variation across the scene caused by incidence angle differences.</w:t>
      </w:r>
    </w:p>
    <w:p>
      <w:pPr>
        <w:spacing w:after="80" w:before="80"/>
        <w:ind w:left="720"/>
      </w:pPr>
      <w:r>
        <w:rPr>
          <w:rFonts w:ascii="Courier New" w:cs="Courier New" w:eastAsia="Courier New" w:hAnsi="Courier New"/>
          <w:color w:val="1F3864"/>
          <w:sz w:val="20"/>
          <w:szCs w:val="20"/>
        </w:rPr>
        <w:t xml:space="preserve">RFDI = (VV_lin - VH_lin) / (VV_lin + VH_lin)    Range: -1 (intact forest) to +1 (bare/urban)</w:t>
      </w:r>
    </w:p>
    <w:p>
      <w:pPr>
        <w:spacing w:after="120"/>
      </w:pPr>
      <w:r>
        <w:rPr>
          <w:rFonts w:ascii="Arial" w:cs="Arial" w:eastAsia="Arial" w:hAnsi="Arial"/>
          <w:sz w:val="22"/>
          <w:szCs w:val="22"/>
        </w:rPr>
        <w:t xml:space="preserve">At +1 all backscatter is co-polarised — bare soil or urban surface. Dense intact forest approaches -0.5 in practice. The peak at +0.6 in the Rome distribution confirms the AOI is predominantly built-up. RFDI is arguably the single cleanest SAR feature for separating the heat-storing urban fabric from heat-dissipating vegetated areas.</w:t>
      </w:r>
    </w:p>
    <w:p>
      <w:pPr>
        <w:pBdr>
          <w:left w:val="single" w:color="C00000" w:sz="6" w:space="8"/>
        </w:pBdr>
        <w:spacing w:after="200" w:before="80"/>
        <w:ind w:left="180"/>
      </w:pPr>
      <w:r>
        <w:rPr>
          <w:rFonts w:ascii="Arial" w:cs="Arial" w:eastAsia="Arial" w:hAnsi="Arial"/>
          <w:b/>
          <w:bCs/>
          <w:color w:val="C00000"/>
          <w:sz w:val="22"/>
          <w:szCs w:val="22"/>
        </w:rPr>
        <w:t xml:space="preserve">LST relationship: </w:t>
      </w:r>
      <w:r>
        <w:rPr>
          <w:rFonts w:ascii="Arial" w:cs="Arial" w:eastAsia="Arial" w:hAnsi="Arial"/>
          <w:color w:val="C00000"/>
          <w:sz w:val="22"/>
          <w:szCs w:val="22"/>
        </w:rPr>
        <w:t xml:space="preserve">Strong negative correlation expected with LST in vegetated areas. High RFDI (near +1) marks surfaces with minimal cooling capacity. RFDI's normalised range makes it more interpretable in SHAP analysis than raw backscatter values.</w:t>
      </w:r>
    </w:p>
    <w:p>
      <w:pPr>
        <w:pStyle w:val="Heading2"/>
      </w:pPr>
      <w:r>
        <w:rPr>
          <w:rFonts w:ascii="Arial" w:cs="Arial" w:eastAsia="Arial" w:hAnsi="Arial"/>
        </w:rPr>
        <w:t xml:space="preserve">6. SAR_urban — Urban Fabric Intensity Index</w:t>
      </w:r>
    </w:p>
    <w:p>
      <w:pPr>
        <w:spacing w:after="120"/>
      </w:pPr>
      <w:r>
        <w:rPr>
          <w:rFonts w:ascii="Arial" w:cs="Arial" w:eastAsia="Arial" w:hAnsi="Arial"/>
          <w:sz w:val="22"/>
          <w:szCs w:val="22"/>
        </w:rPr>
        <w:t xml:space="preserve">An engineered index that deliberately amplifies the double-bounce scattering mechanism dominant in dense urban areas. Squaring VV in the numerator raises already-high urban values further, while dividing by VH suppresses areas where cross-pol is strong (vegetation).</w:t>
      </w:r>
    </w:p>
    <w:p>
      <w:pPr>
        <w:spacing w:after="80" w:before="80"/>
        <w:ind w:left="720"/>
      </w:pPr>
      <w:r>
        <w:rPr>
          <w:rFonts w:ascii="Courier New" w:cs="Courier New" w:eastAsia="Courier New" w:hAnsi="Courier New"/>
          <w:color w:val="1F3864"/>
          <w:sz w:val="20"/>
          <w:szCs w:val="20"/>
        </w:rPr>
        <w:t xml:space="preserve">SAR_urban = 10 x log10(VV_lin^2 / VH_lin)    [clipped at 99th percentile]</w:t>
      </w:r>
    </w:p>
    <w:p>
      <w:pPr>
        <w:spacing w:after="120"/>
      </w:pPr>
      <w:r>
        <w:rPr>
          <w:rFonts w:ascii="Arial" w:cs="Arial" w:eastAsia="Arial" w:hAnsi="Arial"/>
          <w:sz w:val="22"/>
          <w:szCs w:val="22"/>
        </w:rPr>
        <w:t xml:space="preserve">The double-bounce mechanism — radar pulse bouncing off the ground and then a vertical wall — is the physical signature of buildings. This feature is more selective for dense built-up areas than VV alone because it simultaneously rewards high co-pol and penalises cross-pol. Extreme outliers from water pixels are removed by the 99th percentile clip.</w:t>
      </w:r>
    </w:p>
    <w:p>
      <w:pPr>
        <w:pBdr>
          <w:left w:val="single" w:color="C00000" w:sz="6" w:space="8"/>
        </w:pBdr>
        <w:spacing w:after="200" w:before="80"/>
        <w:ind w:left="180"/>
      </w:pPr>
      <w:r>
        <w:rPr>
          <w:rFonts w:ascii="Arial" w:cs="Arial" w:eastAsia="Arial" w:hAnsi="Arial"/>
          <w:b/>
          <w:bCs/>
          <w:color w:val="C00000"/>
          <w:sz w:val="22"/>
          <w:szCs w:val="22"/>
        </w:rPr>
        <w:t xml:space="preserve">LST relationship: </w:t>
      </w:r>
      <w:r>
        <w:rPr>
          <w:rFonts w:ascii="Arial" w:cs="Arial" w:eastAsia="Arial" w:hAnsi="Arial"/>
          <w:color w:val="C00000"/>
          <w:sz w:val="22"/>
          <w:szCs w:val="22"/>
        </w:rPr>
        <w:t xml:space="preserve">Proxy for building density and canyon geometry — the physical drivers of heat trapping and reduced nocturnal cooling. Expected to be positively correlated with LST and to interact strongly with building height features in SHAP analysis.</w:t>
      </w:r>
    </w:p>
    <w:p>
      <w:pPr>
        <w:pStyle w:val="Heading2"/>
      </w:pPr>
      <w:r>
        <w:rPr>
          <w:rFonts w:ascii="Arial" w:cs="Arial" w:eastAsia="Arial" w:hAnsi="Arial"/>
        </w:rPr>
        <w:t xml:space="preserve">7. VV_std — Temporal Variability of Co-pol</w:t>
      </w:r>
    </w:p>
    <w:p>
      <w:pPr>
        <w:spacing w:after="120"/>
      </w:pPr>
      <w:r>
        <w:rPr>
          <w:rFonts w:ascii="Arial" w:cs="Arial" w:eastAsia="Arial" w:hAnsi="Arial"/>
          <w:sz w:val="22"/>
          <w:szCs w:val="22"/>
        </w:rPr>
        <w:t xml:space="preserve">Unlike the previous features which are seasonal medians, VV_std is computed across all passes over the full year 2025 (approximately 44 images). It measures how much the VV backscatter of each pixel fluctuated over time.</w:t>
      </w:r>
    </w:p>
    <w:p>
      <w:pPr>
        <w:spacing w:after="80" w:before="80"/>
        <w:ind w:left="720"/>
      </w:pPr>
      <w:r>
        <w:rPr>
          <w:rFonts w:ascii="Courier New" w:cs="Courier New" w:eastAsia="Courier New" w:hAnsi="Courier New"/>
          <w:color w:val="1F3864"/>
          <w:sz w:val="20"/>
          <w:szCs w:val="20"/>
        </w:rPr>
        <w:t xml:space="preserve">VV_std = std(VV_dB) over full year 2025 passes</w:t>
      </w:r>
    </w:p>
    <w:p>
      <w:pPr>
        <w:spacing w:after="120"/>
      </w:pPr>
      <w:r>
        <w:rPr>
          <w:rFonts w:ascii="Arial" w:cs="Arial" w:eastAsia="Arial" w:hAnsi="Arial"/>
          <w:sz w:val="22"/>
          <w:szCs w:val="22"/>
        </w:rPr>
        <w:t xml:space="preserve">Low VV_std indicates a stable surface — concrete, asphalt, permanent rooftops — whose microwave signature barely changes across seasons. High VV_std indicates a changing surface: soil moisture fluctuations after rain, construction activity exposing and then covering bare earth, or seasonal inundation. This temporal signal is unique to SAR — optical imagery over Rome is frequently cloud-contaminated in winter, making stable full-year stats difficult from Landsat.</w:t>
      </w:r>
    </w:p>
    <w:p>
      <w:pPr>
        <w:pBdr>
          <w:left w:val="single" w:color="C00000" w:sz="6" w:space="8"/>
        </w:pBdr>
        <w:spacing w:after="200" w:before="80"/>
        <w:ind w:left="180"/>
      </w:pPr>
      <w:r>
        <w:rPr>
          <w:rFonts w:ascii="Arial" w:cs="Arial" w:eastAsia="Arial" w:hAnsi="Arial"/>
          <w:b/>
          <w:bCs/>
          <w:color w:val="C00000"/>
          <w:sz w:val="22"/>
          <w:szCs w:val="22"/>
        </w:rPr>
        <w:t xml:space="preserve">LST relationship: </w:t>
      </w:r>
      <w:r>
        <w:rPr>
          <w:rFonts w:ascii="Arial" w:cs="Arial" w:eastAsia="Arial" w:hAnsi="Arial"/>
          <w:color w:val="C00000"/>
          <w:sz w:val="22"/>
          <w:szCs w:val="22"/>
        </w:rPr>
        <w:t xml:space="preserve">Stable low-VV_std surfaces are either permanent urban (high LST) or established parks (low LST) with predictable thermal behaviour. High VV_std pixels are transitional — construction zones or seasonal agricultural land — with different and less stable thermal inertia. This feature may help the model distinguish permanent urban heat sources from temporary ones.</w:t>
      </w:r>
    </w:p>
    <w:p>
      <w:pPr>
        <w:pStyle w:val="Heading2"/>
      </w:pPr>
      <w:r>
        <w:rPr>
          <w:rFonts w:ascii="Arial" w:cs="Arial" w:eastAsia="Arial" w:hAnsi="Arial"/>
        </w:rPr>
        <w:t xml:space="preserve">8. VH_std — Temporal Variability of Cross-pol</w:t>
      </w:r>
    </w:p>
    <w:p>
      <w:pPr>
        <w:spacing w:after="120"/>
      </w:pPr>
      <w:r>
        <w:rPr>
          <w:rFonts w:ascii="Arial" w:cs="Arial" w:eastAsia="Arial" w:hAnsi="Arial"/>
          <w:sz w:val="22"/>
          <w:szCs w:val="22"/>
        </w:rPr>
        <w:t xml:space="preserve">The same temporal std computation applied to the cross-polarised channel. Because VH is sensitive to vegetation volume and canopy moisture, VH_std specifically captures vegetation phenological cycles.</w:t>
      </w:r>
    </w:p>
    <w:p>
      <w:pPr>
        <w:spacing w:after="80" w:before="80"/>
        <w:ind w:left="720"/>
      </w:pPr>
      <w:r>
        <w:rPr>
          <w:rFonts w:ascii="Courier New" w:cs="Courier New" w:eastAsia="Courier New" w:hAnsi="Courier New"/>
          <w:color w:val="1F3864"/>
          <w:sz w:val="20"/>
          <w:szCs w:val="20"/>
        </w:rPr>
        <w:t xml:space="preserve">VH_std = std(VH_dB) over full year 2025 passes</w:t>
      </w:r>
    </w:p>
    <w:p>
      <w:pPr>
        <w:spacing w:after="120"/>
      </w:pPr>
      <w:r>
        <w:rPr>
          <w:rFonts w:ascii="Arial" w:cs="Arial" w:eastAsia="Arial" w:hAnsi="Arial"/>
          <w:sz w:val="22"/>
          <w:szCs w:val="22"/>
        </w:rPr>
        <w:t xml:space="preserve">A deciduous forest loses its canopy in winter, causing VH to drop dramatically between seasons — high VH_std. An evergreen urban park stays constant year-round — low VH_std. Cropland in the Campagna Romana east of Rome goes through full growth and harvest cycles — very high VH_std. The multimodal distribution visible in the histogram reflects these distinct land cover types present in the AOI.</w:t>
      </w:r>
    </w:p>
    <w:p>
      <w:pPr>
        <w:pBdr>
          <w:left w:val="single" w:color="C00000" w:sz="6" w:space="8"/>
        </w:pBdr>
        <w:spacing w:after="200" w:before="80"/>
        <w:ind w:left="180"/>
      </w:pPr>
      <w:r>
        <w:rPr>
          <w:rFonts w:ascii="Arial" w:cs="Arial" w:eastAsia="Arial" w:hAnsi="Arial"/>
          <w:b/>
          <w:bCs/>
          <w:color w:val="C00000"/>
          <w:sz w:val="22"/>
          <w:szCs w:val="22"/>
        </w:rPr>
        <w:t xml:space="preserve">LST relationship: </w:t>
      </w:r>
      <w:r>
        <w:rPr>
          <w:rFonts w:ascii="Arial" w:cs="Arial" w:eastAsia="Arial" w:hAnsi="Arial"/>
          <w:color w:val="C00000"/>
          <w:sz w:val="22"/>
          <w:szCs w:val="22"/>
        </w:rPr>
        <w:t xml:space="preserve">Separates evergreen parks (stable cooling, low VH_std) from seasonal vegetation like cropland or deciduous trees (variable cooling, high VH_std). Two pixels with identical summer NDVI can have very different VH_std — and very different annual LST patterns. Critical for avoiding the model confounding stable and transient cooling contributors.</w:t>
      </w:r>
    </w:p>
    <w:p>
      <w:pPr>
        <w:pStyle w:val="Heading2"/>
      </w:pPr>
      <w:r>
        <w:rPr>
          <w:rFonts w:ascii="Arial" w:cs="Arial" w:eastAsia="Arial" w:hAnsi="Arial"/>
        </w:rPr>
        <w:t xml:space="preserve">9. texture_contrast — GLCM Urban Canyon Complexity</w:t>
      </w:r>
    </w:p>
    <w:p>
      <w:pPr>
        <w:spacing w:after="120"/>
      </w:pPr>
      <w:r>
        <w:rPr>
          <w:rFonts w:ascii="Arial" w:cs="Arial" w:eastAsia="Arial" w:hAnsi="Arial"/>
          <w:sz w:val="22"/>
          <w:szCs w:val="22"/>
        </w:rPr>
        <w:t xml:space="preserve">A spatial texture feature computed from the Grey-Level Co-occurrence Matrix (GLCM) of the VV band, over an 11x11 pixel neighbourhood (330 m window at 30 m resolution). It measures how much adjacent pixels differ from each other in backscatter intensity.</w:t>
      </w:r>
    </w:p>
    <w:p>
      <w:pPr>
        <w:spacing w:after="80" w:before="80"/>
        <w:ind w:left="720"/>
      </w:pPr>
      <w:r>
        <w:rPr>
          <w:rFonts w:ascii="Courier New" w:cs="Courier New" w:eastAsia="Courier New" w:hAnsi="Courier New"/>
          <w:color w:val="1F3864"/>
          <w:sz w:val="20"/>
          <w:szCs w:val="20"/>
        </w:rPr>
        <w:t xml:space="preserve">contrast = sum_ij (i - j)^2 * p(i,j)</w:t>
      </w:r>
    </w:p>
    <w:p>
      <w:pPr>
        <w:spacing w:after="120"/>
      </w:pPr>
      <w:r>
        <w:rPr>
          <w:rFonts w:ascii="Arial" w:cs="Arial" w:eastAsia="Arial" w:hAnsi="Arial"/>
          <w:sz w:val="22"/>
          <w:szCs w:val="22"/>
        </w:rPr>
        <w:t xml:space="preserve">Here i and j are grey levels of neighbouring pixel pairs and p(i,j) is the probability of that pair occurring. High contrast means adjacent pixels frequently have very different VV values — a spatially heterogeneous surface such as a dense historic centre with narrow streets, tall buildings, and open piazzas. Low contrast means a uniform surface such as a large parking lot or agricultural field. A log1p transform is applied after export to compress the right-skewed distribution: texture_contrast_final = log(1 + contrast).</w:t>
      </w:r>
    </w:p>
    <w:p>
      <w:pPr>
        <w:spacing w:after="120"/>
      </w:pPr>
      <w:r>
        <w:rPr>
          <w:rFonts w:ascii="Arial" w:cs="Arial" w:eastAsia="Arial" w:hAnsi="Arial"/>
          <w:sz w:val="22"/>
          <w:szCs w:val="22"/>
        </w:rPr>
        <w:t xml:space="preserve">This is the SAR proxy for the urban canyon complexity that building height deviation (BHD) and sky view factor (SVF) capture in the paper — but derived entirely from radar without requiring any external building dataset.</w:t>
      </w:r>
    </w:p>
    <w:p>
      <w:pPr>
        <w:pBdr>
          <w:left w:val="single" w:color="C00000" w:sz="6" w:space="8"/>
        </w:pBdr>
        <w:spacing w:after="200" w:before="80"/>
        <w:ind w:left="180"/>
      </w:pPr>
      <w:r>
        <w:rPr>
          <w:rFonts w:ascii="Arial" w:cs="Arial" w:eastAsia="Arial" w:hAnsi="Arial"/>
          <w:b/>
          <w:bCs/>
          <w:color w:val="C00000"/>
          <w:sz w:val="22"/>
          <w:szCs w:val="22"/>
        </w:rPr>
        <w:t xml:space="preserve">LST relationship: </w:t>
      </w:r>
      <w:r>
        <w:rPr>
          <w:rFonts w:ascii="Arial" w:cs="Arial" w:eastAsia="Arial" w:hAnsi="Arial"/>
          <w:color w:val="C00000"/>
          <w:sz w:val="22"/>
          <w:szCs w:val="22"/>
        </w:rPr>
        <w:t xml:space="preserve">Complex urban canyon geometry reduces sky view factor, traps longwave radiation at night, and inhibits convective ventilation — all of which raise LST. texture_contrast is expected to be positively correlated with LST in dense urban areas and to complement BHD and SVF if those features are included. It is the feature most likely to reveal interaction effects with building height in SHAP dependence plots.</w:t>
      </w:r>
    </w:p>
    <w:p>
      <w:pPr>
        <w:spacing w:after="80"/>
      </w:pPr>
      <w:r>
        <w:t xml:space="preserve"/>
      </w:r>
    </w:p>
    <w:p>
      <w:pPr>
        <w:spacing w:after="80"/>
      </w:pPr>
      <w:r>
        <w:t xml:space="preserve"/>
      </w:r>
    </w:p>
    <w:p>
      <w:pPr>
        <w:pStyle w:val="Heading1"/>
      </w:pPr>
      <w:r>
        <w:rPr>
          <w:rFonts w:ascii="Arial" w:cs="Arial" w:eastAsia="Arial" w:hAnsi="Arial"/>
        </w:rPr>
        <w:t xml:space="preserve">Pre-processing Notes</w:t>
      </w:r>
    </w:p>
    <w:p>
      <w:pPr>
        <w:spacing w:after="120"/>
      </w:pPr>
      <w:r>
        <w:rPr>
          <w:rFonts w:ascii="Arial" w:cs="Arial" w:eastAsia="Arial" w:hAnsi="Arial"/>
          <w:sz w:val="22"/>
          <w:szCs w:val="22"/>
        </w:rPr>
        <w:t xml:space="preserve">Before modelling, the following cleaning steps are applied to address physically impossible or anomalous values:</w:t>
      </w:r>
    </w:p>
    <w:p>
      <w:pPr>
        <w:pStyle w:val="ListParagraph"/>
        <w:numPr>
          <w:ilvl w:val="0"/>
          <w:numId w:val="2"/>
        </w:numPr>
        <w:spacing w:after="80"/>
      </w:pPr>
      <w:r>
        <w:rPr>
          <w:rFonts w:ascii="Arial" w:cs="Arial" w:eastAsia="Arial" w:hAnsi="Arial"/>
          <w:sz w:val="22"/>
          <w:szCs w:val="22"/>
        </w:rPr>
        <w:t xml:space="preserve">VH_VV_ratio: clipped at 99th percentile to remove degenerate values caused by near-zero VV in water pixels.</w:t>
      </w:r>
    </w:p>
    <w:p>
      <w:pPr>
        <w:pStyle w:val="ListParagraph"/>
        <w:numPr>
          <w:ilvl w:val="0"/>
          <w:numId w:val="2"/>
        </w:numPr>
        <w:spacing w:after="80"/>
      </w:pPr>
      <w:r>
        <w:rPr>
          <w:rFonts w:ascii="Arial" w:cs="Arial" w:eastAsia="Arial" w:hAnsi="Arial"/>
          <w:sz w:val="22"/>
          <w:szCs w:val="22"/>
        </w:rPr>
        <w:t xml:space="preserve">SAR_urban: clipped at 99th percentile to remove extreme values from the same water pixel artifact.</w:t>
      </w:r>
    </w:p>
    <w:p>
      <w:pPr>
        <w:pStyle w:val="ListParagraph"/>
        <w:numPr>
          <w:ilvl w:val="0"/>
          <w:numId w:val="2"/>
        </w:numPr>
        <w:spacing w:after="80"/>
      </w:pPr>
      <w:r>
        <w:rPr>
          <w:rFonts w:ascii="Arial" w:cs="Arial" w:eastAsia="Arial" w:hAnsi="Arial"/>
          <w:sz w:val="22"/>
          <w:szCs w:val="22"/>
        </w:rPr>
        <w:t xml:space="preserve">texture_contrast: log1p transformed to compress the heavy right skew and give the model equal resolution across the full contrast range.</w:t>
      </w:r>
    </w:p>
    <w:p>
      <w:pPr>
        <w:spacing w:after="80"/>
      </w:pPr>
      <w:r>
        <w:t xml:space="preserve"/>
      </w:r>
    </w:p>
    <w:p>
      <w:pPr>
        <w:pStyle w:val="Heading1"/>
      </w:pPr>
      <w:r>
        <w:rPr>
          <w:rFonts w:ascii="Arial" w:cs="Arial" w:eastAsia="Arial" w:hAnsi="Arial"/>
        </w:rPr>
        <w:t xml:space="preserve">Coordinate System</w:t>
      </w:r>
    </w:p>
    <w:p>
      <w:pPr>
        <w:spacing w:after="120"/>
      </w:pPr>
      <w:r>
        <w:rPr>
          <w:rFonts w:ascii="Arial" w:cs="Arial" w:eastAsia="Arial" w:hAnsi="Arial"/>
          <w:sz w:val="22"/>
          <w:szCs w:val="22"/>
        </w:rPr>
        <w:t xml:space="preserve">All pixel coordinates are stored as x_utm and y_utm in EPSG:32633 (UTM Zone 33N, metres). This is a projected coordinate system where distances are in metres, ensuring the 30 m pixel grid is exact and consistent. Conversion to WGS84 longitude/latitude (EPSG:4326) can be performed with pyproj when needed for mapping or joining with datasets that use geographic coordinates.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2026-06-03T21:21:30.224Z</dcterms:created>
  <dcterms:modified xsi:type="dcterms:W3CDTF">2026-06-03T21:21:30.224Z</dcterms:modified>
</cp:coreProperties>
</file>

<file path=docProps/custom.xml><?xml version="1.0" encoding="utf-8"?>
<Properties xmlns="http://schemas.openxmlformats.org/officeDocument/2006/custom-properties" xmlns:vt="http://schemas.openxmlformats.org/officeDocument/2006/docPropsVTypes"/>
</file>